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57" w:rsidRPr="003A037A" w:rsidRDefault="00511057" w:rsidP="003A037A">
      <w:pPr>
        <w:pStyle w:val="Heading1"/>
        <w:spacing w:after="240"/>
        <w:rPr>
          <w:color w:val="1F4E79" w:themeColor="accent1" w:themeShade="80"/>
        </w:rPr>
      </w:pPr>
      <w:r w:rsidRPr="003A037A">
        <w:rPr>
          <w:color w:val="1F4E79" w:themeColor="accent1" w:themeShade="80"/>
        </w:rPr>
        <w:t>IT Acquisition Best Practices</w:t>
      </w:r>
    </w:p>
    <w:p w:rsidR="00C93ACA" w:rsidRPr="003A037A" w:rsidRDefault="00E01E97" w:rsidP="003A037A">
      <w:pPr>
        <w:pStyle w:val="Heading2"/>
        <w:numPr>
          <w:ilvl w:val="0"/>
          <w:numId w:val="3"/>
        </w:numPr>
        <w:spacing w:before="120" w:after="120"/>
        <w:rPr>
          <w:color w:val="1F4E79" w:themeColor="accent1" w:themeShade="80"/>
        </w:rPr>
      </w:pPr>
      <w:r w:rsidRPr="003A037A">
        <w:rPr>
          <w:color w:val="1F4E79" w:themeColor="accent1" w:themeShade="80"/>
        </w:rPr>
        <w:t>Utilize a Statement of Objectives (SOO) versus a Statement of Work (SOW) – promotes innovative solutions from industry.</w:t>
      </w:r>
      <w:r w:rsidR="00EE079B">
        <w:rPr>
          <w:color w:val="1F4E79" w:themeColor="accent1" w:themeShade="80"/>
        </w:rPr>
        <w:t xml:space="preserve">  Don’t restrict offerors on how to build the “box” but rather provide </w:t>
      </w:r>
      <w:r w:rsidR="000D0422">
        <w:rPr>
          <w:color w:val="1F4E79" w:themeColor="accent1" w:themeShade="80"/>
        </w:rPr>
        <w:t>your system requirements and let industry work with you on the type of box needed.</w:t>
      </w:r>
    </w:p>
    <w:p w:rsidR="00C93ACA" w:rsidRPr="003A037A" w:rsidRDefault="00E01E97" w:rsidP="003A037A">
      <w:pPr>
        <w:pStyle w:val="Heading2"/>
        <w:numPr>
          <w:ilvl w:val="0"/>
          <w:numId w:val="3"/>
        </w:numPr>
        <w:spacing w:before="120" w:after="120"/>
        <w:rPr>
          <w:color w:val="1F4E79" w:themeColor="accent1" w:themeShade="80"/>
        </w:rPr>
      </w:pPr>
      <w:r w:rsidRPr="003A037A">
        <w:rPr>
          <w:color w:val="1F4E79" w:themeColor="accent1" w:themeShade="80"/>
        </w:rPr>
        <w:t xml:space="preserve">Speed up CMS and HHS review of acquisition plans </w:t>
      </w:r>
      <w:r w:rsidR="000D0422">
        <w:rPr>
          <w:color w:val="1F4E79" w:themeColor="accent1" w:themeShade="80"/>
        </w:rPr>
        <w:t xml:space="preserve">(AP) </w:t>
      </w:r>
      <w:r w:rsidRPr="003A037A">
        <w:rPr>
          <w:color w:val="1F4E79" w:themeColor="accent1" w:themeShade="80"/>
        </w:rPr>
        <w:t>by structuring contracts into smaller</w:t>
      </w:r>
      <w:r w:rsidR="00EE079B">
        <w:rPr>
          <w:color w:val="1F4E79" w:themeColor="accent1" w:themeShade="80"/>
        </w:rPr>
        <w:t>, process oriented requirements</w:t>
      </w:r>
      <w:r w:rsidRPr="003A037A">
        <w:rPr>
          <w:color w:val="1F4E79" w:themeColor="accent1" w:themeShade="80"/>
        </w:rPr>
        <w:t xml:space="preserve"> which</w:t>
      </w:r>
      <w:r w:rsidR="00EE079B">
        <w:rPr>
          <w:color w:val="1F4E79" w:themeColor="accent1" w:themeShade="80"/>
        </w:rPr>
        <w:t>,</w:t>
      </w:r>
      <w:r w:rsidRPr="003A037A">
        <w:rPr>
          <w:color w:val="1F4E79" w:themeColor="accent1" w:themeShade="80"/>
        </w:rPr>
        <w:t xml:space="preserve"> in turn</w:t>
      </w:r>
      <w:r w:rsidR="00EE079B">
        <w:rPr>
          <w:color w:val="1F4E79" w:themeColor="accent1" w:themeShade="80"/>
        </w:rPr>
        <w:t>,</w:t>
      </w:r>
      <w:r w:rsidRPr="003A037A">
        <w:rPr>
          <w:color w:val="1F4E79" w:themeColor="accent1" w:themeShade="80"/>
        </w:rPr>
        <w:t xml:space="preserve"> reduces total contract value costs.</w:t>
      </w:r>
    </w:p>
    <w:p w:rsidR="00C93ACA" w:rsidRPr="003A037A" w:rsidRDefault="00E01E97" w:rsidP="003A037A">
      <w:pPr>
        <w:pStyle w:val="Heading2"/>
        <w:numPr>
          <w:ilvl w:val="0"/>
          <w:numId w:val="3"/>
        </w:numPr>
        <w:spacing w:before="120" w:after="120"/>
        <w:rPr>
          <w:color w:val="1F4E79" w:themeColor="accent1" w:themeShade="80"/>
        </w:rPr>
      </w:pPr>
      <w:bookmarkStart w:id="0" w:name="_GoBack"/>
      <w:bookmarkEnd w:id="0"/>
      <w:r w:rsidRPr="003A037A">
        <w:rPr>
          <w:color w:val="1F4E79" w:themeColor="accent1" w:themeShade="80"/>
        </w:rPr>
        <w:t>Streamline the proposal evaluation process by implementing a two-stage evaluation</w:t>
      </w:r>
      <w:r w:rsidR="00735D58">
        <w:rPr>
          <w:color w:val="1F4E79" w:themeColor="accent1" w:themeShade="80"/>
        </w:rPr>
        <w:t>, or down-select process,</w:t>
      </w:r>
      <w:r w:rsidRPr="003A037A">
        <w:rPr>
          <w:color w:val="1F4E79" w:themeColor="accent1" w:themeShade="80"/>
        </w:rPr>
        <w:t xml:space="preserve"> to reduce the number of proposals needing to receive full evaluation.</w:t>
      </w:r>
      <w:r w:rsidR="000D0422">
        <w:rPr>
          <w:color w:val="1F4E79" w:themeColor="accent1" w:themeShade="80"/>
        </w:rPr>
        <w:t xml:space="preserve">  Also, consider what your evaluation criteria are, using only </w:t>
      </w:r>
      <w:r w:rsidR="00236E0A">
        <w:rPr>
          <w:color w:val="1F4E79" w:themeColor="accent1" w:themeShade="80"/>
        </w:rPr>
        <w:t>relevant, strategic discriminators to separate viable offerors.</w:t>
      </w:r>
    </w:p>
    <w:p w:rsidR="00C93ACA" w:rsidRPr="003A037A" w:rsidRDefault="00735D58" w:rsidP="003A037A">
      <w:pPr>
        <w:pStyle w:val="Heading2"/>
        <w:numPr>
          <w:ilvl w:val="0"/>
          <w:numId w:val="3"/>
        </w:numPr>
        <w:spacing w:before="120" w:after="120"/>
        <w:rPr>
          <w:color w:val="1F4E79" w:themeColor="accent1" w:themeShade="80"/>
        </w:rPr>
      </w:pPr>
      <w:r>
        <w:rPr>
          <w:color w:val="1F4E79" w:themeColor="accent1" w:themeShade="80"/>
        </w:rPr>
        <w:t>Consider</w:t>
      </w:r>
      <w:r w:rsidR="00E01E97" w:rsidRPr="003A037A">
        <w:rPr>
          <w:color w:val="1F4E79" w:themeColor="accent1" w:themeShade="80"/>
        </w:rPr>
        <w:t xml:space="preserve"> a maximum page limit for proposals (e.g., 20-25 pages vs. 50-100 pages).</w:t>
      </w:r>
    </w:p>
    <w:p w:rsidR="00C93ACA" w:rsidRPr="003A037A" w:rsidRDefault="00735D58" w:rsidP="003A037A">
      <w:pPr>
        <w:pStyle w:val="Heading2"/>
        <w:numPr>
          <w:ilvl w:val="0"/>
          <w:numId w:val="3"/>
        </w:numPr>
        <w:spacing w:before="120" w:after="120"/>
        <w:rPr>
          <w:color w:val="1F4E79" w:themeColor="accent1" w:themeShade="80"/>
        </w:rPr>
      </w:pPr>
      <w:r>
        <w:rPr>
          <w:color w:val="1F4E79" w:themeColor="accent1" w:themeShade="80"/>
        </w:rPr>
        <w:t>Utilize</w:t>
      </w:r>
      <w:r w:rsidR="00E01E97" w:rsidRPr="003A037A">
        <w:rPr>
          <w:color w:val="1F4E79" w:themeColor="accent1" w:themeShade="80"/>
        </w:rPr>
        <w:t xml:space="preserve"> Mar</w:t>
      </w:r>
      <w:r>
        <w:rPr>
          <w:color w:val="1F4E79" w:themeColor="accent1" w:themeShade="80"/>
        </w:rPr>
        <w:t>ket Research as a Service (MRaaS</w:t>
      </w:r>
      <w:r w:rsidR="00E01E97" w:rsidRPr="003A037A">
        <w:rPr>
          <w:color w:val="1F4E79" w:themeColor="accent1" w:themeShade="80"/>
        </w:rPr>
        <w:t xml:space="preserve">) tool to </w:t>
      </w:r>
      <w:r>
        <w:rPr>
          <w:color w:val="1F4E79" w:themeColor="accent1" w:themeShade="80"/>
        </w:rPr>
        <w:t xml:space="preserve">augment </w:t>
      </w:r>
      <w:r w:rsidR="00E01E97" w:rsidRPr="003A037A">
        <w:rPr>
          <w:color w:val="1F4E79" w:themeColor="accent1" w:themeShade="80"/>
        </w:rPr>
        <w:t xml:space="preserve">and speed up the market research process.  </w:t>
      </w:r>
    </w:p>
    <w:p w:rsidR="00C93ACA" w:rsidRPr="003A037A" w:rsidRDefault="00E01E97" w:rsidP="003A037A">
      <w:pPr>
        <w:pStyle w:val="Heading2"/>
        <w:numPr>
          <w:ilvl w:val="0"/>
          <w:numId w:val="3"/>
        </w:numPr>
        <w:spacing w:before="120" w:after="120"/>
        <w:rPr>
          <w:color w:val="1F4E79" w:themeColor="accent1" w:themeShade="80"/>
        </w:rPr>
      </w:pPr>
      <w:r w:rsidRPr="003A037A">
        <w:rPr>
          <w:color w:val="1F4E79" w:themeColor="accent1" w:themeShade="80"/>
        </w:rPr>
        <w:t>Develop and communicate additional tools and templates</w:t>
      </w:r>
      <w:r w:rsidR="00236E0A">
        <w:rPr>
          <w:color w:val="1F4E79" w:themeColor="accent1" w:themeShade="80"/>
        </w:rPr>
        <w:t xml:space="preserve"> as part of the solicitation process</w:t>
      </w:r>
      <w:r w:rsidRPr="003A037A">
        <w:rPr>
          <w:color w:val="1F4E79" w:themeColor="accent1" w:themeShade="80"/>
        </w:rPr>
        <w:t xml:space="preserve"> to help expedite the acquisiti</w:t>
      </w:r>
      <w:r w:rsidR="00511057" w:rsidRPr="003A037A">
        <w:rPr>
          <w:color w:val="1F4E79" w:themeColor="accent1" w:themeShade="80"/>
        </w:rPr>
        <w:t xml:space="preserve">on process and better identify </w:t>
      </w:r>
      <w:r w:rsidRPr="003A037A">
        <w:rPr>
          <w:color w:val="1F4E79" w:themeColor="accent1" w:themeShade="80"/>
        </w:rPr>
        <w:t>capable vendors</w:t>
      </w:r>
    </w:p>
    <w:p w:rsidR="00C93ACA" w:rsidRPr="003A037A" w:rsidRDefault="00E01E97" w:rsidP="003A037A">
      <w:pPr>
        <w:pStyle w:val="Heading2"/>
        <w:numPr>
          <w:ilvl w:val="0"/>
          <w:numId w:val="3"/>
        </w:numPr>
        <w:spacing w:before="120" w:after="120"/>
        <w:rPr>
          <w:color w:val="1F4E79" w:themeColor="accent1" w:themeShade="80"/>
        </w:rPr>
      </w:pPr>
      <w:r w:rsidRPr="003A037A">
        <w:rPr>
          <w:color w:val="1F4E79" w:themeColor="accent1" w:themeShade="80"/>
        </w:rPr>
        <w:t xml:space="preserve">Consult with </w:t>
      </w:r>
      <w:r w:rsidR="00974759">
        <w:rPr>
          <w:color w:val="1F4E79" w:themeColor="accent1" w:themeShade="80"/>
        </w:rPr>
        <w:t>your OAGM counterparts (CO/CS team) frequently for input and direction.</w:t>
      </w:r>
      <w:r w:rsidRPr="003A037A">
        <w:rPr>
          <w:color w:val="1F4E79" w:themeColor="accent1" w:themeShade="80"/>
        </w:rPr>
        <w:t xml:space="preserve"> </w:t>
      </w:r>
    </w:p>
    <w:p w:rsidR="00C93ACA" w:rsidRPr="003A037A" w:rsidRDefault="00E01E97" w:rsidP="003A037A">
      <w:pPr>
        <w:pStyle w:val="Heading2"/>
        <w:numPr>
          <w:ilvl w:val="0"/>
          <w:numId w:val="3"/>
        </w:numPr>
        <w:spacing w:before="120" w:after="120"/>
        <w:rPr>
          <w:color w:val="1F4E79" w:themeColor="accent1" w:themeShade="80"/>
        </w:rPr>
      </w:pPr>
      <w:r w:rsidRPr="003A037A">
        <w:rPr>
          <w:color w:val="1F4E79" w:themeColor="accent1" w:themeShade="80"/>
        </w:rPr>
        <w:t xml:space="preserve">Collaborate with </w:t>
      </w:r>
      <w:r w:rsidR="00974759">
        <w:rPr>
          <w:color w:val="1F4E79" w:themeColor="accent1" w:themeShade="80"/>
        </w:rPr>
        <w:t xml:space="preserve">business owners </w:t>
      </w:r>
      <w:r w:rsidRPr="003A037A">
        <w:rPr>
          <w:color w:val="1F4E79" w:themeColor="accent1" w:themeShade="80"/>
        </w:rPr>
        <w:t xml:space="preserve">early to help “re-think” IT acquisition approaches and </w:t>
      </w:r>
      <w:r w:rsidR="005817F3">
        <w:rPr>
          <w:color w:val="1F4E79" w:themeColor="accent1" w:themeShade="80"/>
        </w:rPr>
        <w:t>consider</w:t>
      </w:r>
      <w:r w:rsidRPr="003A037A">
        <w:rPr>
          <w:color w:val="1F4E79" w:themeColor="accent1" w:themeShade="80"/>
        </w:rPr>
        <w:t xml:space="preserve"> the CMS internal “culture” </w:t>
      </w:r>
      <w:r w:rsidR="005817F3">
        <w:rPr>
          <w:color w:val="1F4E79" w:themeColor="accent1" w:themeShade="80"/>
        </w:rPr>
        <w:t>and agile mentality.</w:t>
      </w:r>
    </w:p>
    <w:p w:rsidR="00C93ACA" w:rsidRPr="003A037A" w:rsidRDefault="00E01E97" w:rsidP="003A037A">
      <w:pPr>
        <w:pStyle w:val="Heading2"/>
        <w:numPr>
          <w:ilvl w:val="0"/>
          <w:numId w:val="3"/>
        </w:numPr>
        <w:spacing w:before="120" w:after="120"/>
        <w:rPr>
          <w:color w:val="1F4E79" w:themeColor="accent1" w:themeShade="80"/>
        </w:rPr>
      </w:pPr>
      <w:r w:rsidRPr="003A037A">
        <w:rPr>
          <w:color w:val="1F4E79" w:themeColor="accent1" w:themeShade="80"/>
        </w:rPr>
        <w:t>Chunk requirements down, consider most appropriate contract type f</w:t>
      </w:r>
      <w:r w:rsidR="005817F3">
        <w:rPr>
          <w:color w:val="1F4E79" w:themeColor="accent1" w:themeShade="80"/>
        </w:rPr>
        <w:t>or each chunk -</w:t>
      </w:r>
      <w:r w:rsidRPr="003A037A">
        <w:rPr>
          <w:color w:val="1F4E79" w:themeColor="accent1" w:themeShade="80"/>
        </w:rPr>
        <w:t xml:space="preserve"> avoid the trap of re-using older acquisition documents just because they exist.  </w:t>
      </w:r>
    </w:p>
    <w:p w:rsidR="00C93ACA" w:rsidRPr="003A037A" w:rsidRDefault="00E01E97" w:rsidP="003A037A">
      <w:pPr>
        <w:pStyle w:val="Heading2"/>
        <w:numPr>
          <w:ilvl w:val="0"/>
          <w:numId w:val="3"/>
        </w:numPr>
        <w:spacing w:before="120" w:after="120"/>
        <w:rPr>
          <w:color w:val="1F4E79" w:themeColor="accent1" w:themeShade="80"/>
        </w:rPr>
      </w:pPr>
      <w:r w:rsidRPr="003A037A">
        <w:rPr>
          <w:color w:val="1F4E79" w:themeColor="accent1" w:themeShade="80"/>
        </w:rPr>
        <w:t>Collaborate with OAGM to implement an IT acquisition community of practice that also leverages the OIT Center for Enterprise Agility.</w:t>
      </w:r>
    </w:p>
    <w:p w:rsidR="00C47EF7" w:rsidRDefault="00C47EF7"/>
    <w:sectPr w:rsidR="00C47E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1F" w:rsidRDefault="0051141F" w:rsidP="00437073">
      <w:pPr>
        <w:spacing w:after="0" w:line="240" w:lineRule="auto"/>
      </w:pPr>
      <w:r>
        <w:separator/>
      </w:r>
    </w:p>
  </w:endnote>
  <w:endnote w:type="continuationSeparator" w:id="0">
    <w:p w:rsidR="0051141F" w:rsidRDefault="0051141F" w:rsidP="0043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73" w:rsidRPr="00204D4D" w:rsidRDefault="00204D4D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04D4D">
      <w:rPr>
        <w:sz w:val="18"/>
        <w:szCs w:val="18"/>
      </w:rPr>
      <w:t>Rev.1-092018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1F" w:rsidRDefault="0051141F" w:rsidP="00437073">
      <w:pPr>
        <w:spacing w:after="0" w:line="240" w:lineRule="auto"/>
      </w:pPr>
      <w:r>
        <w:separator/>
      </w:r>
    </w:p>
  </w:footnote>
  <w:footnote w:type="continuationSeparator" w:id="0">
    <w:p w:rsidR="0051141F" w:rsidRDefault="0051141F" w:rsidP="0043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689C"/>
    <w:multiLevelType w:val="hybridMultilevel"/>
    <w:tmpl w:val="D996F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D1C21"/>
    <w:multiLevelType w:val="hybridMultilevel"/>
    <w:tmpl w:val="E9A2725C"/>
    <w:lvl w:ilvl="0" w:tplc="CE90E8D2">
      <w:start w:val="1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829C4"/>
    <w:multiLevelType w:val="hybridMultilevel"/>
    <w:tmpl w:val="E2160D1C"/>
    <w:lvl w:ilvl="0" w:tplc="3F063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0E8D2">
      <w:start w:val="1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AD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43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6B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8F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2E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C7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69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57"/>
    <w:rsid w:val="000D0422"/>
    <w:rsid w:val="001F50F1"/>
    <w:rsid w:val="00204D4D"/>
    <w:rsid w:val="00236E0A"/>
    <w:rsid w:val="003A037A"/>
    <w:rsid w:val="00437073"/>
    <w:rsid w:val="00511057"/>
    <w:rsid w:val="0051141F"/>
    <w:rsid w:val="005817F3"/>
    <w:rsid w:val="00735D58"/>
    <w:rsid w:val="00864D34"/>
    <w:rsid w:val="00974759"/>
    <w:rsid w:val="00C47EF7"/>
    <w:rsid w:val="00C93ACA"/>
    <w:rsid w:val="00E01E97"/>
    <w:rsid w:val="00E53C05"/>
    <w:rsid w:val="00E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F0C18-70F1-45A2-8F13-E7905584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10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3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073"/>
  </w:style>
  <w:style w:type="paragraph" w:styleId="Footer">
    <w:name w:val="footer"/>
    <w:basedOn w:val="Normal"/>
    <w:link w:val="FooterChar"/>
    <w:uiPriority w:val="99"/>
    <w:unhideWhenUsed/>
    <w:rsid w:val="0043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80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3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50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1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4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6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5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9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6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1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0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1416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Acquisition Best Practices</vt:lpstr>
    </vt:vector>
  </TitlesOfParts>
  <Company>CMS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Acquisition Best Practices</dc:title>
  <dc:subject>IT Acquisitions</dc:subject>
  <dc:creator>MICHAEL CROW</dc:creator>
  <cp:keywords/>
  <dc:description/>
  <cp:lastModifiedBy>MICHAEL CROW</cp:lastModifiedBy>
  <cp:revision>4</cp:revision>
  <dcterms:created xsi:type="dcterms:W3CDTF">2018-08-23T18:39:00Z</dcterms:created>
  <dcterms:modified xsi:type="dcterms:W3CDTF">2018-08-29T16:14:00Z</dcterms:modified>
  <cp:category>Procurement</cp:category>
</cp:coreProperties>
</file>