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532" w:rsidRDefault="00085532" w:rsidP="00085532">
      <w:pPr>
        <w:pStyle w:val="InstructionalText"/>
        <w:spacing w:before="0" w:after="0"/>
        <w:rPr>
          <w:color w:val="0033CC"/>
        </w:rPr>
      </w:pPr>
      <w:r w:rsidRPr="006E6F32">
        <w:rPr>
          <w:color w:val="0033CC"/>
        </w:rPr>
        <w:t>NOTE: Th</w:t>
      </w:r>
      <w:r w:rsidR="00A41719">
        <w:rPr>
          <w:color w:val="0033CC"/>
        </w:rPr>
        <w:t>e below</w:t>
      </w:r>
      <w:r w:rsidRPr="006E6F32">
        <w:rPr>
          <w:color w:val="0033CC"/>
        </w:rPr>
        <w:t xml:space="preserve"> template</w:t>
      </w:r>
      <w:r w:rsidR="00A41719">
        <w:rPr>
          <w:color w:val="0033CC"/>
        </w:rPr>
        <w:t>s</w:t>
      </w:r>
      <w:r w:rsidRPr="006E6F32">
        <w:rPr>
          <w:color w:val="0033CC"/>
        </w:rPr>
        <w:t xml:space="preserve"> w</w:t>
      </w:r>
      <w:r w:rsidR="00A41719">
        <w:rPr>
          <w:color w:val="0033CC"/>
        </w:rPr>
        <w:t>ere</w:t>
      </w:r>
      <w:r w:rsidRPr="006E6F32">
        <w:rPr>
          <w:color w:val="0033CC"/>
        </w:rPr>
        <w:t xml:space="preserve"> designed based on best practices and information to support CMS governance and IT processes. Use of th</w:t>
      </w:r>
      <w:r w:rsidR="00A41719">
        <w:rPr>
          <w:color w:val="0033CC"/>
        </w:rPr>
        <w:t>ese</w:t>
      </w:r>
      <w:r w:rsidRPr="006E6F32">
        <w:rPr>
          <w:color w:val="0033CC"/>
        </w:rPr>
        <w:t xml:space="preserve"> template</w:t>
      </w:r>
      <w:r w:rsidR="00A41719">
        <w:rPr>
          <w:color w:val="0033CC"/>
        </w:rPr>
        <w:t>s</w:t>
      </w:r>
      <w:r w:rsidRPr="006E6F32">
        <w:rPr>
          <w:color w:val="0033CC"/>
        </w:rPr>
        <w:t xml:space="preserve"> is not mandatory, rather programs are encouraged to adapt th</w:t>
      </w:r>
      <w:r w:rsidR="00A41719">
        <w:rPr>
          <w:color w:val="0033CC"/>
        </w:rPr>
        <w:t>ese</w:t>
      </w:r>
      <w:r w:rsidRPr="006E6F32">
        <w:rPr>
          <w:color w:val="0033CC"/>
        </w:rPr>
        <w:t xml:space="preserve"> template</w:t>
      </w:r>
      <w:r w:rsidR="00A41719">
        <w:rPr>
          <w:color w:val="0033CC"/>
        </w:rPr>
        <w:t>s</w:t>
      </w:r>
      <w:r w:rsidRPr="006E6F32">
        <w:rPr>
          <w:color w:val="0033CC"/>
        </w:rPr>
        <w:t xml:space="preserve"> to their needs by adding or removing sections as appropriate. Programs are also encouraged to leverage these templates as the basis for web-based system development artifacts.</w:t>
      </w:r>
    </w:p>
    <w:p w:rsidR="00085532" w:rsidRPr="00085532" w:rsidRDefault="00085532" w:rsidP="00085532">
      <w:pPr>
        <w:pStyle w:val="BodyText"/>
        <w:rPr>
          <w:lang w:eastAsia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665FA" w:rsidTr="006665FA">
        <w:tc>
          <w:tcPr>
            <w:tcW w:w="4675" w:type="dxa"/>
          </w:tcPr>
          <w:p w:rsidR="006665FA" w:rsidRPr="006665FA" w:rsidRDefault="0068429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Template</w:t>
            </w:r>
          </w:p>
        </w:tc>
        <w:tc>
          <w:tcPr>
            <w:tcW w:w="4675" w:type="dxa"/>
          </w:tcPr>
          <w:p w:rsidR="006665FA" w:rsidRPr="006665FA" w:rsidRDefault="006665F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665FA">
              <w:rPr>
                <w:rFonts w:ascii="Arial" w:hAnsi="Arial" w:cs="Arial"/>
                <w:b/>
                <w:sz w:val="28"/>
                <w:szCs w:val="28"/>
              </w:rPr>
              <w:t>Purpose</w:t>
            </w:r>
          </w:p>
        </w:tc>
      </w:tr>
      <w:tr w:rsidR="006665FA" w:rsidTr="006665FA">
        <w:tc>
          <w:tcPr>
            <w:tcW w:w="4675" w:type="dxa"/>
          </w:tcPr>
          <w:p w:rsidR="006665FA" w:rsidRPr="006665FA" w:rsidRDefault="00666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Action Items </w:t>
            </w:r>
          </w:p>
        </w:tc>
        <w:tc>
          <w:tcPr>
            <w:tcW w:w="4675" w:type="dxa"/>
          </w:tcPr>
          <w:p w:rsidR="006665FA" w:rsidRDefault="006665FA" w:rsidP="006665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Records and manages assignments that generally</w:t>
            </w:r>
          </w:p>
          <w:p w:rsidR="006665FA" w:rsidRDefault="006665FA" w:rsidP="006665FA">
            <w:r>
              <w:rPr>
                <w:rFonts w:ascii="Arial" w:hAnsi="Arial" w:cs="Arial"/>
                <w:sz w:val="19"/>
                <w:szCs w:val="19"/>
              </w:rPr>
              <w:t>result from meeting discussions.</w:t>
            </w:r>
          </w:p>
        </w:tc>
      </w:tr>
      <w:tr w:rsidR="00D95A4D" w:rsidTr="006665FA">
        <w:tc>
          <w:tcPr>
            <w:tcW w:w="4675" w:type="dxa"/>
          </w:tcPr>
          <w:p w:rsidR="00D95A4D" w:rsidRPr="006665FA" w:rsidRDefault="00D95A4D" w:rsidP="006665FA">
            <w:pPr>
              <w:rPr>
                <w:rFonts w:ascii="Arial" w:hAnsi="Arial" w:cs="Arial"/>
              </w:rPr>
            </w:pPr>
            <w:r w:rsidRPr="006665FA">
              <w:rPr>
                <w:rFonts w:ascii="Arial" w:hAnsi="Arial" w:cs="Arial"/>
              </w:rPr>
              <w:t>Change Management Plan</w:t>
            </w:r>
          </w:p>
        </w:tc>
        <w:tc>
          <w:tcPr>
            <w:tcW w:w="4675" w:type="dxa"/>
          </w:tcPr>
          <w:p w:rsidR="00D95A4D" w:rsidRDefault="00D95A4D" w:rsidP="006665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Change Management Plan is</w:t>
            </w:r>
          </w:p>
          <w:p w:rsidR="00D95A4D" w:rsidRDefault="00D95A4D" w:rsidP="006665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completed during the Planning Phase in conjunction with the Project</w:t>
            </w:r>
          </w:p>
          <w:p w:rsidR="00D95A4D" w:rsidRDefault="00D95A4D" w:rsidP="006665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Management Plan by the Project Manager. The Change Management Plan</w:t>
            </w:r>
          </w:p>
          <w:p w:rsidR="00D95A4D" w:rsidRDefault="00D95A4D" w:rsidP="006665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defines the approach, administrative procedures, roles and responsibilities</w:t>
            </w:r>
          </w:p>
          <w:p w:rsidR="00D95A4D" w:rsidRDefault="00D95A4D" w:rsidP="006665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for submitting, evaluating, coordinating, approving or disapproving</w:t>
            </w:r>
          </w:p>
          <w:p w:rsidR="00D95A4D" w:rsidRDefault="00D95A4D" w:rsidP="006665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business and technical changes to baselined configuration items (CIs) for</w:t>
            </w:r>
          </w:p>
          <w:p w:rsidR="00D95A4D" w:rsidRDefault="00D95A4D" w:rsidP="006665FA">
            <w:r>
              <w:rPr>
                <w:rFonts w:ascii="Arial" w:hAnsi="Arial" w:cs="Arial"/>
                <w:sz w:val="19"/>
                <w:szCs w:val="19"/>
              </w:rPr>
              <w:t>the project.</w:t>
            </w:r>
          </w:p>
        </w:tc>
      </w:tr>
      <w:tr w:rsidR="00D95A4D" w:rsidTr="006665FA">
        <w:tc>
          <w:tcPr>
            <w:tcW w:w="4675" w:type="dxa"/>
          </w:tcPr>
          <w:p w:rsidR="00D95A4D" w:rsidRPr="006665FA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Communications Management Plan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Completed during the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Planning Phase in conjunction with the Project Management Plan by the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Project Manager. The Communication Management Plan documents the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protocol for conducting effective communications for the project to help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manage project team and stakeholder expectations and prevent unchanneled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communication. The Communication Management Plan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documents the methods and activities needed to ensure timely and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appropriate collection, generation, dissemination, storage, and ultimate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disposition of project information among the project team and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stakeholders. The Communication Management Plan also defines which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groups do not have access to certain information and what type of</w:t>
            </w:r>
          </w:p>
          <w:p w:rsidR="00D95A4D" w:rsidRDefault="00D95A4D" w:rsidP="006665FA">
            <w:r>
              <w:rPr>
                <w:rFonts w:ascii="Arial" w:hAnsi="Arial" w:cs="Arial"/>
                <w:sz w:val="19"/>
                <w:szCs w:val="19"/>
              </w:rPr>
              <w:t>information will not be widely distributed</w:t>
            </w:r>
          </w:p>
        </w:tc>
      </w:tr>
      <w:tr w:rsidR="00D95A4D" w:rsidTr="006665FA">
        <w:tc>
          <w:tcPr>
            <w:tcW w:w="4675" w:type="dxa"/>
          </w:tcPr>
          <w:p w:rsidR="00D95A4D" w:rsidRDefault="00D95A4D">
            <w:r w:rsidRPr="00E8645C">
              <w:rPr>
                <w:rFonts w:ascii="Arial" w:hAnsi="Arial" w:cs="Arial"/>
              </w:rPr>
              <w:t>Configuration Management Plan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Configuration Management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Plan is completed during the Planning Phase in conjunction with the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Project Management Plan by the Project Manager. The Configuration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Management (CM) Plan establishes the technical and administrative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direction and surveillance for the management of configuration items (i.e.,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software, hardware, and documentation) associated with the project that</w:t>
            </w:r>
          </w:p>
          <w:p w:rsidR="00D95A4D" w:rsidRDefault="00D95A4D" w:rsidP="00E8645C">
            <w:r>
              <w:rPr>
                <w:rFonts w:ascii="Arial" w:hAnsi="Arial" w:cs="Arial"/>
                <w:sz w:val="19"/>
                <w:szCs w:val="19"/>
              </w:rPr>
              <w:t>are to be placed under configuration control.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Database Design Document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the design of a</w:t>
            </w:r>
          </w:p>
          <w:p w:rsidR="00D95A4D" w:rsidRDefault="00D95A4D" w:rsidP="00E8645C">
            <w:r>
              <w:rPr>
                <w:rFonts w:ascii="Arial" w:hAnsi="Arial" w:cs="Arial"/>
                <w:sz w:val="19"/>
                <w:szCs w:val="19"/>
              </w:rPr>
              <w:lastRenderedPageBreak/>
              <w:t>database and the software units used to access or manipulate the data.</w:t>
            </w:r>
          </w:p>
        </w:tc>
      </w:tr>
      <w:tr w:rsidR="00D95A4D" w:rsidTr="006665FA">
        <w:tc>
          <w:tcPr>
            <w:tcW w:w="4675" w:type="dxa"/>
          </w:tcPr>
          <w:p w:rsidR="00D95A4D" w:rsidRDefault="00D95A4D">
            <w:r w:rsidRPr="00E8645C">
              <w:rPr>
                <w:rFonts w:ascii="Arial" w:hAnsi="Arial" w:cs="Arial"/>
              </w:rPr>
              <w:lastRenderedPageBreak/>
              <w:t>Data Conversion Plan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the strategies involved in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converting data from an existing system/application to another hardware</w:t>
            </w:r>
          </w:p>
          <w:p w:rsidR="00D95A4D" w:rsidRDefault="00D95A4D" w:rsidP="00E8645C">
            <w:r>
              <w:rPr>
                <w:rFonts w:ascii="Arial" w:hAnsi="Arial" w:cs="Arial"/>
                <w:sz w:val="19"/>
                <w:szCs w:val="19"/>
              </w:rPr>
              <w:t>and/or software environment.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Decision Log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Documents the decisions made over the course of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project.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Development Approach Plan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Development Approach Plan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the approach to developing technologies or information system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(s). The approach to development incorporates methodology, processes,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transition points, people and tools to be used. The level of detail in the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Development Approach Plan is dependent upon the characteristics of the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project (e.g., new development or maintenance), Statement of Work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(SOW) requirements, stakeholder needs, etc.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Development Approach belongs to a tree of plans subordinate to the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Project Management Plan (PMP.) If a corporate System Development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Management Plan (SDMP) exists, the Development Approach Plan may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reference the corresponding section(s) of the SDMP rather than reiterating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content of the SDMP in the Development Approach Plan. Where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applicable, references to the SDMP should also be augmented to address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any additional information or deviations from the SDMP that are specific to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given project.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Enterprise Systems Development (ESD) Section J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Section J is a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service delivery guideline tailored for information technology (IT) contracts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for the Enterprise Systems Development (ESD) Program. The document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specifies contractual IT-tailored guidelines and requirements to contractors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who have received awards from a predefined list.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Financial Management Plan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Financial Management Plan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(FMP) is developed during the Planning Phase in conjunction with the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Project Management Plan by the Project Manager. The purpose of the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Financial Management Plan is to document the Financial Measurement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Baseline (FMB) and define how it will be tracked, define the reviews that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will be established for reporting on the financial health of the project, and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define the invoicing requirements and timelines.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High Level Technical Design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Documents conceptual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functions and stakeholder interactions.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lastRenderedPageBreak/>
              <w:t>Implementation Plan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how the automated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system/application or IT situation will be installed, deployed and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transitioned into an operational system or situation.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Interface Control Document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the relationship between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 source system and a target system. Required for review, normally not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updated after originally baselined in Design Phase.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Issues List</w:t>
            </w:r>
          </w:p>
        </w:tc>
        <w:tc>
          <w:tcPr>
            <w:tcW w:w="4675" w:type="dxa"/>
          </w:tcPr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Keeps a record of all issues that occur during the life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of a project.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E8645C">
              <w:rPr>
                <w:rFonts w:ascii="Arial" w:hAnsi="Arial" w:cs="Arial"/>
              </w:rPr>
              <w:t>Lessons Learned Log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and records lessons learned and</w:t>
            </w:r>
          </w:p>
          <w:p w:rsidR="00D95A4D" w:rsidRDefault="00D95A4D" w:rsidP="00E8645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future recommendations.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t>Operations &amp; Maintenance Manual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Guides those who maintain,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support and/or use the system in a day-to-day operations environment.</w:t>
            </w:r>
          </w:p>
        </w:tc>
      </w:tr>
      <w:tr w:rsidR="00D95A4D" w:rsidTr="004017CF">
        <w:trPr>
          <w:trHeight w:val="845"/>
        </w:trPr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t>Performance Management Plan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Performance Measurement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Plan is developed during the Planning Phase in conjunction with the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Project Management Plan by the Project Manager. The Performance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Measurement Plan is used to more effectively manage performance and incorporates performance objectives, measures and expectations allocated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to the performance of specific aspects of the project.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t>Performance Test Plan and Results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Provides a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template to integrate performance test planning and reporting in CMS’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Enterprise Testing Center (ETC).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t>Post Implementation Report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Documents results from monitoring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performance of a system/application during normal operations against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original user requirements and any newly implemented requirements or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changes.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t>Project Charter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Authorizes the existence of a project and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provides the authority to proceed and apply organizational resources.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t>Project Closeout Report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Assesses the project, ensures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completion, and derives lessons learned and best practices to be applied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to future projects.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t>Project Management Plan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Project Management Plan (PMP) is developed in the Planning Phase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by the Project Manager and provides detailed plans, processes, and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procedures for managing and controlling the life cycle activities of a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specific IT project. The PMP describes the processes for managing,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tracking, and controlling the development of an automated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system/application or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other</w:t>
            </w:r>
            <w:proofErr w:type="gramEnd"/>
            <w:r>
              <w:rPr>
                <w:rFonts w:ascii="Arial" w:hAnsi="Arial" w:cs="Arial"/>
                <w:sz w:val="19"/>
                <w:szCs w:val="19"/>
              </w:rPr>
              <w:t xml:space="preserve"> IT solution. It provides necessary information to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improve the level of communication and understanding between all project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team members and stakeholders, and may be comprised of other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subsidiary management plans.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Possible subsidiary management plans include the following items. If it is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determined that a separate subsidiary plan is not required, this information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should be conveyed in the Project Management Plan.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lastRenderedPageBreak/>
              <w:t>Project Schedule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Shows the Integrated Master Schedule which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includes all activities required to complete a project and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their</w:t>
            </w:r>
            <w:proofErr w:type="gramEnd"/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interdependencies.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t>Quality Management Plan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Quality Management Plan (QMP)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is developed during the Planning Phase in conjunction with the Project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Management Plan by the Project Manager. The Quality Management Plan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documents the necessary information required to effectively manage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quality during the life cycle of the project. It defines the project's quality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policies, procedures, areas of application and associated criteria, and roles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and responsibilities.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017CF">
              <w:rPr>
                <w:rFonts w:ascii="Arial" w:hAnsi="Arial" w:cs="Arial"/>
              </w:rPr>
              <w:t>Release Plan</w:t>
            </w:r>
          </w:p>
        </w:tc>
        <w:tc>
          <w:tcPr>
            <w:tcW w:w="4675" w:type="dxa"/>
          </w:tcPr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what portions of the system functionality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will be implemented in which release and why.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Requirements Document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the business and technical</w:t>
            </w:r>
          </w:p>
          <w:p w:rsidR="00D95A4D" w:rsidRDefault="00D95A4D" w:rsidP="004017C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capabilities and constraints of the IT project.</w:t>
            </w:r>
          </w:p>
        </w:tc>
      </w:tr>
      <w:tr w:rsidR="00BB12C4" w:rsidTr="006665FA">
        <w:tc>
          <w:tcPr>
            <w:tcW w:w="4675" w:type="dxa"/>
          </w:tcPr>
          <w:p w:rsidR="00BB12C4" w:rsidRPr="004C653D" w:rsidRDefault="00BB12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Requirements Writer’s Guide</w:t>
            </w:r>
          </w:p>
        </w:tc>
        <w:tc>
          <w:tcPr>
            <w:tcW w:w="4675" w:type="dxa"/>
          </w:tcPr>
          <w:p w:rsidR="00BB12C4" w:rsidRDefault="00BB12C4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</w:t>
            </w:r>
            <w:r w:rsidRPr="00BB12C4">
              <w:rPr>
                <w:rFonts w:ascii="Arial" w:hAnsi="Arial" w:cs="Arial"/>
                <w:sz w:val="19"/>
                <w:szCs w:val="19"/>
              </w:rPr>
              <w:t>rovide guidance to managers, analysts, users, developers, and others who are responsible for scoping, writing, or reviewing requirements.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Risk Management Plan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Risk Management Plan (RMP) is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developed during the Planning Phase in conjunction with the Project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Management Plan by the Project Manager. The purpose of the Risk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Management</w:t>
            </w:r>
            <w:bookmarkStart w:id="0" w:name="_GoBack"/>
            <w:bookmarkEnd w:id="0"/>
            <w:r>
              <w:rPr>
                <w:rFonts w:ascii="Arial" w:hAnsi="Arial" w:cs="Arial"/>
                <w:sz w:val="19"/>
                <w:szCs w:val="19"/>
              </w:rPr>
              <w:t xml:space="preserve"> Plan is to define the process details for managing risks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during the life of the project.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Risk Register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Captures the results of a qualitative and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quantitative risk analysis and the results of planning for response.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Schedule Management Plan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Schedule Management Plan is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developed during the Planning Phase in conjunction with the Project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Management Plan by the Project Manager. The Schedule Management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Plan describes how the Project Schedule will be established and managed.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Software Process Improvement Plan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Software Process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Improvement Plan (SPIP) is developed during the Planning Phase in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conjunction with the Project Management Plan by the Project Manager.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SPIP Plan describes any process reviews that have been conducted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including the methodology used for the appraisal and any findings and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recommendations. The SPIP also identifies the approach taken to achieve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software process improvement along with goals and methods, processes,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and tools that will be used.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lastRenderedPageBreak/>
              <w:t>Staff Management Plan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Staff Management Plan is developed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during the Planning Phase in conjunction with the Project Management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Plan by the Project Manager. The Staff Management Plan describes the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approach for identifying, obtaining, allocating, developing, tracking, and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controlling human resources associated with the project during the life of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project.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Subcontractor Management Plan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One of the subordinates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to the Project Management Plan (PMP.) The Subcontractor Management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Plan is a managerial approach to selecting subcontractors, identifying the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services that the subcontractors will provide, establishing and maintaining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agreements with the subcontractors, executing agreement, and monitoring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subcontractor performance. How the subcontractor's processes will be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integrated should also be addressed. The tools and methods selected to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address these areas are to be documented. The artifact should also outline the risks, constraints and assumptions of performing the selected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approach.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If a corporate System Development Management Plan (SDMP) exists, the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Subcontractor Management Plan may reference the corresponding section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(s) of the SDMP rather than reiterating the content of the SDMP in the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Subcontractor Management Plan. Where applicable, references to the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SDMP should also be augmented to address any additional information or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deviations from the SDMP that are specific to the given project.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System Design Document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Documents both high-level system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design and low-level detailed design specifications.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System Disposition Plan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Documents how the various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components of an automated system (software, data, hardware,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communications, and documentation) are to be handled at the completion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of operations to ensure proper disposition of all the system components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and to avoid disruption of the individuals and/or other systems impacted by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disposition.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Test Case Specification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the purpose of a specific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test, identifies the required inputs and expected results, provides step-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bystep</w:t>
            </w:r>
            <w:proofErr w:type="spellEnd"/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procedures for executing the test, and outlines the pass/fail criteria for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determining acceptance.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lastRenderedPageBreak/>
              <w:t>Test Plan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the overall scope, technical and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management approach, resources, and schedule for all intended test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activities associated with validation testing.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4C653D">
              <w:rPr>
                <w:rFonts w:ascii="Arial" w:hAnsi="Arial" w:cs="Arial"/>
              </w:rPr>
              <w:t>Test Summary Report</w:t>
            </w:r>
          </w:p>
        </w:tc>
        <w:tc>
          <w:tcPr>
            <w:tcW w:w="4675" w:type="dxa"/>
          </w:tcPr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Summarizes test activities and results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including any variances from expected behavior.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D46727">
              <w:rPr>
                <w:rFonts w:ascii="Arial" w:hAnsi="Arial" w:cs="Arial"/>
              </w:rPr>
              <w:t>Training Plan</w:t>
            </w:r>
          </w:p>
        </w:tc>
        <w:tc>
          <w:tcPr>
            <w:tcW w:w="4675" w:type="dxa"/>
          </w:tcPr>
          <w:p w:rsidR="00D95A4D" w:rsidRDefault="00D95A4D" w:rsidP="00D467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the overall goals, learning objectives,</w:t>
            </w:r>
          </w:p>
          <w:p w:rsidR="00D95A4D" w:rsidRDefault="00D95A4D" w:rsidP="00D467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and activities that are to be performed to develop, conduct, control, and</w:t>
            </w:r>
          </w:p>
          <w:p w:rsidR="00D95A4D" w:rsidRDefault="00D95A4D" w:rsidP="004C653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evaluate instruction.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D46727">
              <w:rPr>
                <w:rFonts w:ascii="Arial" w:hAnsi="Arial" w:cs="Arial"/>
              </w:rPr>
              <w:t>User Manual</w:t>
            </w:r>
          </w:p>
        </w:tc>
        <w:tc>
          <w:tcPr>
            <w:tcW w:w="4675" w:type="dxa"/>
          </w:tcPr>
          <w:p w:rsidR="00D95A4D" w:rsidRDefault="00D95A4D" w:rsidP="00D467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Explains how a novice business user is to use the</w:t>
            </w:r>
          </w:p>
          <w:p w:rsidR="00D95A4D" w:rsidRDefault="00D95A4D" w:rsidP="00D467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automated system or application from a business function perspective.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  <w:r w:rsidRPr="00D46727">
              <w:rPr>
                <w:rFonts w:ascii="Arial" w:hAnsi="Arial" w:cs="Arial"/>
              </w:rPr>
              <w:t>Version Description Document</w:t>
            </w:r>
          </w:p>
        </w:tc>
        <w:tc>
          <w:tcPr>
            <w:tcW w:w="4675" w:type="dxa"/>
          </w:tcPr>
          <w:p w:rsidR="00D95A4D" w:rsidRDefault="00D95A4D" w:rsidP="00D467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Identifies, tracks and controls</w:t>
            </w:r>
          </w:p>
          <w:p w:rsidR="00D95A4D" w:rsidRDefault="00D95A4D" w:rsidP="00D467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versions of automated systems and/or applications to be released to the</w:t>
            </w:r>
          </w:p>
          <w:p w:rsidR="00D95A4D" w:rsidRDefault="00D95A4D" w:rsidP="00D467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operational environment.</w:t>
            </w:r>
          </w:p>
        </w:tc>
      </w:tr>
      <w:tr w:rsidR="00D95A4D" w:rsidTr="006665FA">
        <w:tc>
          <w:tcPr>
            <w:tcW w:w="4675" w:type="dxa"/>
          </w:tcPr>
          <w:p w:rsidR="00D95A4D" w:rsidRPr="00E8645C" w:rsidRDefault="00D95A4D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:rsidR="00D95A4D" w:rsidRDefault="00D95A4D" w:rsidP="00D467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C21040" w:rsidRDefault="00C21040"/>
    <w:sectPr w:rsidR="00C21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GxNLQ0NrawNAWyzZR0lIJTi4sz8/NACgxrASeGwussAAAA"/>
  </w:docVars>
  <w:rsids>
    <w:rsidRoot w:val="006665FA"/>
    <w:rsid w:val="00085532"/>
    <w:rsid w:val="004017CF"/>
    <w:rsid w:val="004C653D"/>
    <w:rsid w:val="006665FA"/>
    <w:rsid w:val="0068429C"/>
    <w:rsid w:val="006F566E"/>
    <w:rsid w:val="0086773F"/>
    <w:rsid w:val="00A41719"/>
    <w:rsid w:val="00B068EF"/>
    <w:rsid w:val="00BB12C4"/>
    <w:rsid w:val="00C21040"/>
    <w:rsid w:val="00D46727"/>
    <w:rsid w:val="00D95A4D"/>
    <w:rsid w:val="00E5101B"/>
    <w:rsid w:val="00E8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7FDA5"/>
  <w15:chartTrackingRefBased/>
  <w15:docId w15:val="{FFBE6298-3116-4EFA-90DE-3DD423A9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6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65FA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customStyle="1" w:styleId="InstructionalText">
    <w:name w:val="Instructional Text"/>
    <w:basedOn w:val="BodyText"/>
    <w:next w:val="BodyText"/>
    <w:link w:val="InstructionalTextChar"/>
    <w:qFormat/>
    <w:rsid w:val="00085532"/>
    <w:pPr>
      <w:spacing w:before="120" w:line="240" w:lineRule="auto"/>
    </w:pPr>
    <w:rPr>
      <w:rFonts w:ascii="Arial" w:eastAsia="Times New Roman" w:hAnsi="Arial" w:cs="Times New Roman"/>
      <w:i/>
      <w:color w:val="0000FF"/>
      <w:sz w:val="24"/>
      <w:szCs w:val="20"/>
      <w:lang w:eastAsia="ar-SA"/>
    </w:rPr>
  </w:style>
  <w:style w:type="character" w:customStyle="1" w:styleId="InstructionalTextChar">
    <w:name w:val="Instructional Text Char"/>
    <w:basedOn w:val="BodyTextChar"/>
    <w:link w:val="InstructionalText"/>
    <w:rsid w:val="00085532"/>
    <w:rPr>
      <w:rFonts w:ascii="Arial" w:eastAsia="Times New Roman" w:hAnsi="Arial" w:cs="Times New Roman"/>
      <w:i/>
      <w:color w:val="0000FF"/>
      <w:sz w:val="24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0855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Smith</dc:creator>
  <cp:keywords/>
  <dc:description/>
  <cp:lastModifiedBy>Alex Smith</cp:lastModifiedBy>
  <cp:revision>5</cp:revision>
  <dcterms:created xsi:type="dcterms:W3CDTF">2020-09-02T17:51:00Z</dcterms:created>
  <dcterms:modified xsi:type="dcterms:W3CDTF">2021-12-20T16:40:00Z</dcterms:modified>
</cp:coreProperties>
</file>