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D073F8" w:rsidRDefault="00283DBA" w:rsidP="00D073F8">
      <w:pPr>
        <w:pStyle w:val="Heading1"/>
      </w:pPr>
      <w:r w:rsidRPr="00D073F8">
        <w:t>Changes</w:t>
      </w:r>
      <w:r w:rsidR="006C144F" w:rsidRPr="00D073F8">
        <w:t xml:space="preserve"> to the </w:t>
      </w:r>
      <w:bookmarkStart w:id="0" w:name="_GoBack"/>
      <w:bookmarkEnd w:id="0"/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CC7" w:rsidRDefault="002D1CC7" w:rsidP="00FD6A63">
      <w:r>
        <w:separator/>
      </w:r>
    </w:p>
  </w:endnote>
  <w:endnote w:type="continuationSeparator" w:id="0">
    <w:p w:rsidR="002D1CC7" w:rsidRDefault="002D1CC7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CC7" w:rsidRDefault="002D1CC7" w:rsidP="00FD6A63">
      <w:r>
        <w:separator/>
      </w:r>
    </w:p>
  </w:footnote>
  <w:footnote w:type="continuationSeparator" w:id="0">
    <w:p w:rsidR="002D1CC7" w:rsidRDefault="002D1CC7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357A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0742"/>
    <w:rsid w:val="00953A34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423A1"/>
    <w:rsid w:val="00F44D5F"/>
    <w:rsid w:val="00F5753C"/>
    <w:rsid w:val="00F62A3E"/>
    <w:rsid w:val="00F62FE6"/>
    <w:rsid w:val="00F857A9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72B84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A95A1-C7FA-4D71-BA60-0FBE17FB6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0F57B9-004C-4906-B127-6C304F8A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Booz Allen</cp:lastModifiedBy>
  <cp:revision>6</cp:revision>
  <cp:lastPrinted>2016-04-18T15:23:00Z</cp:lastPrinted>
  <dcterms:created xsi:type="dcterms:W3CDTF">2020-05-20T15:15:00Z</dcterms:created>
  <dcterms:modified xsi:type="dcterms:W3CDTF">2020-06-04T22:44:00Z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