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161" w:rsidRPr="002372A9" w:rsidRDefault="004D5161" w:rsidP="004D5161">
      <w:pPr>
        <w:spacing w:line="240" w:lineRule="auto"/>
        <w:jc w:val="center"/>
        <w:rPr>
          <w:rFonts w:ascii="Times New Roman" w:hAnsi="Times New Roman" w:cs="Times New Roman"/>
          <w:b/>
          <w:sz w:val="24"/>
          <w:szCs w:val="24"/>
        </w:rPr>
      </w:pPr>
      <w:r w:rsidRPr="002372A9">
        <w:rPr>
          <w:rFonts w:ascii="Times New Roman" w:hAnsi="Times New Roman" w:cs="Times New Roman"/>
          <w:b/>
          <w:sz w:val="24"/>
          <w:szCs w:val="24"/>
        </w:rPr>
        <w:t>FY 2012 SNF PPS Monitoring Activities</w:t>
      </w:r>
      <w:r w:rsidR="00E91D8A">
        <w:rPr>
          <w:rFonts w:ascii="Times New Roman" w:hAnsi="Times New Roman" w:cs="Times New Roman"/>
          <w:b/>
          <w:sz w:val="24"/>
          <w:szCs w:val="24"/>
        </w:rPr>
        <w:t xml:space="preserve">: Quarter </w:t>
      </w:r>
      <w:r w:rsidR="005D4299">
        <w:rPr>
          <w:rFonts w:ascii="Times New Roman" w:hAnsi="Times New Roman" w:cs="Times New Roman"/>
          <w:b/>
          <w:sz w:val="24"/>
          <w:szCs w:val="24"/>
        </w:rPr>
        <w:t>3</w:t>
      </w:r>
    </w:p>
    <w:p w:rsidR="00F4185E" w:rsidRPr="00A261A0" w:rsidRDefault="00F4185E" w:rsidP="004D5161">
      <w:pPr>
        <w:spacing w:line="240" w:lineRule="auto"/>
        <w:rPr>
          <w:rFonts w:ascii="Times New Roman" w:hAnsi="Times New Roman" w:cs="Times New Roman"/>
          <w:b/>
          <w:sz w:val="24"/>
          <w:szCs w:val="24"/>
          <w:u w:val="single"/>
        </w:rPr>
      </w:pPr>
      <w:r w:rsidRPr="00A261A0">
        <w:rPr>
          <w:rFonts w:ascii="Times New Roman" w:hAnsi="Times New Roman" w:cs="Times New Roman"/>
          <w:b/>
          <w:sz w:val="24"/>
          <w:szCs w:val="24"/>
          <w:u w:val="single"/>
        </w:rPr>
        <w:t>Introduction</w:t>
      </w:r>
      <w:r w:rsidR="00AE341C">
        <w:rPr>
          <w:rFonts w:ascii="Times New Roman" w:hAnsi="Times New Roman" w:cs="Times New Roman"/>
          <w:b/>
          <w:sz w:val="24"/>
          <w:szCs w:val="24"/>
          <w:u w:val="single"/>
        </w:rPr>
        <w:t>:</w:t>
      </w:r>
    </w:p>
    <w:p w:rsidR="00067C27" w:rsidRPr="00067C27" w:rsidRDefault="00067C27" w:rsidP="00067C27">
      <w:pPr>
        <w:spacing w:line="240" w:lineRule="auto"/>
        <w:ind w:firstLine="720"/>
        <w:rPr>
          <w:rFonts w:ascii="Times New Roman" w:hAnsi="Times New Roman"/>
          <w:sz w:val="24"/>
          <w:szCs w:val="24"/>
        </w:rPr>
      </w:pPr>
      <w:r w:rsidRPr="00067C27">
        <w:rPr>
          <w:rFonts w:ascii="Times New Roman" w:hAnsi="Times New Roman"/>
          <w:sz w:val="24"/>
          <w:szCs w:val="24"/>
        </w:rPr>
        <w:t>In the FY 2012 SNF PPS final rule, we stated we would monitor the impact of certain FY 2012 policy changes on various aspects of the SNF PPS</w:t>
      </w:r>
      <w:r>
        <w:rPr>
          <w:rFonts w:ascii="Times New Roman" w:hAnsi="Times New Roman"/>
          <w:sz w:val="24"/>
          <w:szCs w:val="24"/>
        </w:rPr>
        <w:t xml:space="preserve">. </w:t>
      </w:r>
      <w:r w:rsidRPr="00067C27">
        <w:rPr>
          <w:rFonts w:ascii="Times New Roman" w:hAnsi="Times New Roman"/>
          <w:sz w:val="24"/>
          <w:szCs w:val="24"/>
        </w:rPr>
        <w:t>Specifically, we have been monitoring the impact of the following FY 2012 policy changes:</w:t>
      </w:r>
    </w:p>
    <w:p w:rsidR="00067C27" w:rsidRPr="00067C27" w:rsidRDefault="00067C27" w:rsidP="00067C27">
      <w:pPr>
        <w:numPr>
          <w:ilvl w:val="0"/>
          <w:numId w:val="7"/>
        </w:numPr>
        <w:spacing w:line="240" w:lineRule="auto"/>
        <w:rPr>
          <w:rFonts w:ascii="Times New Roman" w:hAnsi="Times New Roman"/>
          <w:sz w:val="24"/>
          <w:szCs w:val="24"/>
        </w:rPr>
      </w:pPr>
      <w:r w:rsidRPr="00067C27">
        <w:rPr>
          <w:rFonts w:ascii="Times New Roman" w:hAnsi="Times New Roman"/>
          <w:sz w:val="24"/>
          <w:szCs w:val="24"/>
        </w:rPr>
        <w:t>Recalibration of the FY 2011 SNF parity adjustment to align overall payments under RUG-IV with those under RUG-III.</w:t>
      </w:r>
    </w:p>
    <w:p w:rsidR="00067C27" w:rsidRPr="00067C27" w:rsidRDefault="00067C27" w:rsidP="00067C27">
      <w:pPr>
        <w:numPr>
          <w:ilvl w:val="0"/>
          <w:numId w:val="7"/>
        </w:numPr>
        <w:spacing w:line="240" w:lineRule="auto"/>
        <w:rPr>
          <w:rFonts w:ascii="Times New Roman" w:hAnsi="Times New Roman"/>
          <w:sz w:val="24"/>
          <w:szCs w:val="24"/>
        </w:rPr>
      </w:pPr>
      <w:r w:rsidRPr="00067C27">
        <w:rPr>
          <w:rFonts w:ascii="Times New Roman" w:hAnsi="Times New Roman"/>
          <w:sz w:val="24"/>
          <w:szCs w:val="24"/>
        </w:rPr>
        <w:t xml:space="preserve">Allocation of group therapy time to pay more appropriately for group therapy services based on resource utilization and cost. </w:t>
      </w:r>
    </w:p>
    <w:p w:rsidR="00067C27" w:rsidRPr="00067C27" w:rsidRDefault="00067C27" w:rsidP="00067C27">
      <w:pPr>
        <w:numPr>
          <w:ilvl w:val="0"/>
          <w:numId w:val="7"/>
        </w:numPr>
        <w:spacing w:line="240" w:lineRule="auto"/>
        <w:rPr>
          <w:rFonts w:ascii="Times New Roman" w:hAnsi="Times New Roman"/>
          <w:sz w:val="24"/>
          <w:szCs w:val="24"/>
        </w:rPr>
      </w:pPr>
      <w:r w:rsidRPr="00067C27">
        <w:rPr>
          <w:rFonts w:ascii="Times New Roman" w:hAnsi="Times New Roman"/>
          <w:sz w:val="24"/>
          <w:szCs w:val="24"/>
        </w:rPr>
        <w:t>Implementation of changes to the MDS 3.0 patient assessment instrument, most notably the introduction of the Change-of-Therapy (COT) Other Medicare Required Assessment (OMRA).</w:t>
      </w:r>
    </w:p>
    <w:p w:rsidR="004D5161" w:rsidRPr="00067C27" w:rsidRDefault="00E91D8A" w:rsidP="0053413E">
      <w:pPr>
        <w:spacing w:line="240" w:lineRule="auto"/>
        <w:ind w:firstLine="360"/>
        <w:rPr>
          <w:rFonts w:ascii="Times New Roman" w:hAnsi="Times New Roman" w:cs="Times New Roman"/>
          <w:sz w:val="24"/>
          <w:szCs w:val="24"/>
        </w:rPr>
      </w:pPr>
      <w:r w:rsidRPr="00067C27">
        <w:rPr>
          <w:rFonts w:ascii="Times New Roman" w:hAnsi="Times New Roman" w:cs="Times New Roman"/>
          <w:sz w:val="24"/>
          <w:szCs w:val="24"/>
        </w:rPr>
        <w:t xml:space="preserve">In January 2012, we issued the first quarterly memo which provided some observations associated with this monitoring effort. </w:t>
      </w:r>
      <w:r w:rsidR="005D4299">
        <w:rPr>
          <w:rFonts w:ascii="Times New Roman" w:hAnsi="Times New Roman" w:cs="Times New Roman"/>
          <w:sz w:val="24"/>
          <w:szCs w:val="24"/>
        </w:rPr>
        <w:t xml:space="preserve">We updated the analysis in May 2012 using data for the first two quarters in fiscal year 2012. </w:t>
      </w:r>
      <w:r w:rsidRPr="00067C27">
        <w:rPr>
          <w:rFonts w:ascii="Times New Roman" w:hAnsi="Times New Roman" w:cs="Times New Roman"/>
          <w:sz w:val="24"/>
          <w:szCs w:val="24"/>
        </w:rPr>
        <w:t xml:space="preserve">This memo represents an update to that </w:t>
      </w:r>
      <w:r w:rsidR="005D4299">
        <w:rPr>
          <w:rFonts w:ascii="Times New Roman" w:hAnsi="Times New Roman" w:cs="Times New Roman"/>
          <w:sz w:val="24"/>
          <w:szCs w:val="24"/>
        </w:rPr>
        <w:t>May</w:t>
      </w:r>
      <w:r w:rsidRPr="00067C27">
        <w:rPr>
          <w:rFonts w:ascii="Times New Roman" w:hAnsi="Times New Roman" w:cs="Times New Roman"/>
          <w:sz w:val="24"/>
          <w:szCs w:val="24"/>
        </w:rPr>
        <w:t xml:space="preserve"> memo by utilizing data obtained during </w:t>
      </w:r>
      <w:r w:rsidR="00EA1DF9" w:rsidRPr="00067C27">
        <w:rPr>
          <w:rFonts w:ascii="Times New Roman" w:hAnsi="Times New Roman" w:cs="Times New Roman"/>
          <w:sz w:val="24"/>
          <w:szCs w:val="24"/>
        </w:rPr>
        <w:t xml:space="preserve">the </w:t>
      </w:r>
      <w:r w:rsidR="005D4299">
        <w:rPr>
          <w:rFonts w:ascii="Times New Roman" w:hAnsi="Times New Roman" w:cs="Times New Roman"/>
          <w:sz w:val="24"/>
          <w:szCs w:val="24"/>
        </w:rPr>
        <w:t>third</w:t>
      </w:r>
      <w:r w:rsidRPr="00067C27">
        <w:rPr>
          <w:rFonts w:ascii="Times New Roman" w:hAnsi="Times New Roman" w:cs="Times New Roman"/>
          <w:sz w:val="24"/>
          <w:szCs w:val="24"/>
        </w:rPr>
        <w:t xml:space="preserve"> quarter of FY 2012. </w:t>
      </w:r>
    </w:p>
    <w:p w:rsidR="00F4185E" w:rsidRDefault="005E2730" w:rsidP="00F4185E">
      <w:pPr>
        <w:spacing w:line="240" w:lineRule="auto"/>
        <w:rPr>
          <w:rFonts w:ascii="Times New Roman" w:hAnsi="Times New Roman" w:cs="Times New Roman"/>
          <w:sz w:val="24"/>
          <w:szCs w:val="24"/>
        </w:rPr>
      </w:pPr>
      <w:r>
        <w:rPr>
          <w:rFonts w:ascii="Times New Roman" w:hAnsi="Times New Roman" w:cs="Times New Roman"/>
          <w:sz w:val="24"/>
          <w:szCs w:val="24"/>
        </w:rPr>
        <w:t>We present results below u</w:t>
      </w:r>
      <w:r w:rsidR="00AE341C">
        <w:rPr>
          <w:rFonts w:ascii="Times New Roman" w:hAnsi="Times New Roman" w:cs="Times New Roman"/>
          <w:sz w:val="24"/>
          <w:szCs w:val="24"/>
        </w:rPr>
        <w:t xml:space="preserve">sing the full </w:t>
      </w:r>
      <w:r w:rsidR="00454F95">
        <w:rPr>
          <w:rFonts w:ascii="Times New Roman" w:hAnsi="Times New Roman" w:cs="Times New Roman"/>
          <w:sz w:val="24"/>
          <w:szCs w:val="24"/>
        </w:rPr>
        <w:t>FY 2011 data</w:t>
      </w:r>
      <w:r w:rsidR="00AE341C">
        <w:rPr>
          <w:rFonts w:ascii="Times New Roman" w:hAnsi="Times New Roman" w:cs="Times New Roman"/>
          <w:sz w:val="24"/>
          <w:szCs w:val="24"/>
        </w:rPr>
        <w:t>,</w:t>
      </w:r>
      <w:r w:rsidR="00454F95">
        <w:rPr>
          <w:rFonts w:ascii="Times New Roman" w:hAnsi="Times New Roman" w:cs="Times New Roman"/>
          <w:sz w:val="24"/>
          <w:szCs w:val="24"/>
        </w:rPr>
        <w:t xml:space="preserve"> as well as </w:t>
      </w:r>
      <w:r w:rsidR="00E91D8A">
        <w:rPr>
          <w:rFonts w:ascii="Times New Roman" w:hAnsi="Times New Roman" w:cs="Times New Roman"/>
          <w:sz w:val="24"/>
          <w:szCs w:val="24"/>
        </w:rPr>
        <w:t>data from the first</w:t>
      </w:r>
      <w:r w:rsidR="005D4299">
        <w:rPr>
          <w:rFonts w:ascii="Times New Roman" w:hAnsi="Times New Roman" w:cs="Times New Roman"/>
          <w:sz w:val="24"/>
          <w:szCs w:val="24"/>
        </w:rPr>
        <w:t>,</w:t>
      </w:r>
      <w:r w:rsidR="00E91D8A">
        <w:rPr>
          <w:rFonts w:ascii="Times New Roman" w:hAnsi="Times New Roman" w:cs="Times New Roman"/>
          <w:sz w:val="24"/>
          <w:szCs w:val="24"/>
        </w:rPr>
        <w:t xml:space="preserve"> second</w:t>
      </w:r>
      <w:r w:rsidR="005D4299">
        <w:rPr>
          <w:rFonts w:ascii="Times New Roman" w:hAnsi="Times New Roman" w:cs="Times New Roman"/>
          <w:sz w:val="24"/>
          <w:szCs w:val="24"/>
        </w:rPr>
        <w:t xml:space="preserve"> and third</w:t>
      </w:r>
      <w:r w:rsidR="00E91D8A">
        <w:rPr>
          <w:rFonts w:ascii="Times New Roman" w:hAnsi="Times New Roman" w:cs="Times New Roman"/>
          <w:sz w:val="24"/>
          <w:szCs w:val="24"/>
        </w:rPr>
        <w:t xml:space="preserve"> quarters of FY 2012.</w:t>
      </w:r>
    </w:p>
    <w:p w:rsidR="00F4185E" w:rsidRPr="00A261A0" w:rsidRDefault="00F4185E" w:rsidP="00F4185E">
      <w:pPr>
        <w:spacing w:line="240" w:lineRule="auto"/>
        <w:rPr>
          <w:rFonts w:ascii="Times New Roman" w:hAnsi="Times New Roman" w:cs="Times New Roman"/>
          <w:b/>
          <w:sz w:val="24"/>
          <w:szCs w:val="24"/>
          <w:u w:val="single"/>
        </w:rPr>
      </w:pPr>
      <w:r w:rsidRPr="00A261A0">
        <w:rPr>
          <w:rFonts w:ascii="Times New Roman" w:hAnsi="Times New Roman" w:cs="Times New Roman"/>
          <w:b/>
          <w:sz w:val="24"/>
          <w:szCs w:val="24"/>
          <w:u w:val="single"/>
        </w:rPr>
        <w:t>RUG Distributions</w:t>
      </w:r>
      <w:r w:rsidR="00AE341C">
        <w:rPr>
          <w:rFonts w:ascii="Times New Roman" w:hAnsi="Times New Roman" w:cs="Times New Roman"/>
          <w:b/>
          <w:sz w:val="24"/>
          <w:szCs w:val="24"/>
          <w:u w:val="single"/>
        </w:rPr>
        <w:t>:</w:t>
      </w:r>
    </w:p>
    <w:p w:rsidR="00894C07" w:rsidRPr="00894C07" w:rsidRDefault="00A4232E" w:rsidP="00F4185E">
      <w:pPr>
        <w:spacing w:line="240" w:lineRule="auto"/>
        <w:rPr>
          <w:rFonts w:ascii="Times New Roman" w:hAnsi="Times New Roman" w:cs="Times New Roman"/>
          <w:b/>
          <w:sz w:val="24"/>
          <w:szCs w:val="24"/>
        </w:rPr>
      </w:pPr>
      <w:r>
        <w:rPr>
          <w:rFonts w:ascii="Times New Roman" w:hAnsi="Times New Roman" w:cs="Times New Roman"/>
          <w:b/>
          <w:sz w:val="24"/>
          <w:szCs w:val="24"/>
        </w:rPr>
        <w:t>FY 2012</w:t>
      </w:r>
      <w:r w:rsidR="00894C07" w:rsidRPr="00894C07">
        <w:rPr>
          <w:rFonts w:ascii="Times New Roman" w:hAnsi="Times New Roman" w:cs="Times New Roman"/>
          <w:b/>
          <w:sz w:val="24"/>
          <w:szCs w:val="24"/>
        </w:rPr>
        <w:t xml:space="preserve"> utilization</w:t>
      </w:r>
      <w:r>
        <w:rPr>
          <w:rFonts w:ascii="Times New Roman" w:hAnsi="Times New Roman" w:cs="Times New Roman"/>
          <w:b/>
          <w:sz w:val="24"/>
          <w:szCs w:val="24"/>
        </w:rPr>
        <w:t xml:space="preserve"> through </w:t>
      </w:r>
      <w:r w:rsidR="005D4299">
        <w:rPr>
          <w:rFonts w:ascii="Times New Roman" w:hAnsi="Times New Roman" w:cs="Times New Roman"/>
          <w:b/>
          <w:sz w:val="24"/>
          <w:szCs w:val="24"/>
        </w:rPr>
        <w:t>third</w:t>
      </w:r>
      <w:r>
        <w:rPr>
          <w:rFonts w:ascii="Times New Roman" w:hAnsi="Times New Roman" w:cs="Times New Roman"/>
          <w:b/>
          <w:sz w:val="24"/>
          <w:szCs w:val="24"/>
        </w:rPr>
        <w:t xml:space="preserve"> quarter of FY 2012</w:t>
      </w:r>
    </w:p>
    <w:p w:rsidR="00ED6E9E" w:rsidRPr="00454F95" w:rsidRDefault="00ED6E9E" w:rsidP="00454F95">
      <w:pPr>
        <w:pStyle w:val="ListParagraph"/>
        <w:numPr>
          <w:ilvl w:val="0"/>
          <w:numId w:val="5"/>
        </w:numPr>
        <w:spacing w:line="240" w:lineRule="auto"/>
        <w:rPr>
          <w:rFonts w:ascii="Times New Roman" w:hAnsi="Times New Roman" w:cs="Times New Roman"/>
          <w:sz w:val="24"/>
          <w:szCs w:val="24"/>
        </w:rPr>
      </w:pPr>
      <w:r w:rsidRPr="00454F95">
        <w:rPr>
          <w:rFonts w:ascii="Times New Roman" w:hAnsi="Times New Roman" w:cs="Times New Roman"/>
          <w:b/>
          <w:sz w:val="24"/>
          <w:szCs w:val="24"/>
        </w:rPr>
        <w:t>Overall patient case mix is not significantly different from that observed in FY 2011</w:t>
      </w:r>
    </w:p>
    <w:p w:rsidR="005C0D5A" w:rsidRDefault="005C0D5A" w:rsidP="008916B6">
      <w:pPr>
        <w:spacing w:line="240" w:lineRule="auto"/>
        <w:ind w:firstLine="360"/>
        <w:rPr>
          <w:rFonts w:ascii="Times New Roman" w:hAnsi="Times New Roman" w:cs="Times New Roman"/>
          <w:sz w:val="24"/>
          <w:szCs w:val="24"/>
        </w:rPr>
      </w:pPr>
      <w:r>
        <w:rPr>
          <w:rFonts w:ascii="Times New Roman" w:hAnsi="Times New Roman" w:cs="Times New Roman"/>
          <w:sz w:val="24"/>
          <w:szCs w:val="24"/>
        </w:rPr>
        <w:t xml:space="preserve">Table 1 below illustrates a breakdown of the SNF case-mix distributions </w:t>
      </w:r>
      <w:r w:rsidR="00A261A0">
        <w:rPr>
          <w:rFonts w:ascii="Times New Roman" w:hAnsi="Times New Roman" w:cs="Times New Roman"/>
          <w:sz w:val="24"/>
          <w:szCs w:val="24"/>
        </w:rPr>
        <w:t xml:space="preserve">of service days </w:t>
      </w:r>
      <w:r>
        <w:rPr>
          <w:rFonts w:ascii="Times New Roman" w:hAnsi="Times New Roman" w:cs="Times New Roman"/>
          <w:sz w:val="24"/>
          <w:szCs w:val="24"/>
        </w:rPr>
        <w:t>by the major RUG classification categories for the full year of FY 201</w:t>
      </w:r>
      <w:r w:rsidR="00EA1DF9">
        <w:rPr>
          <w:rFonts w:ascii="Times New Roman" w:hAnsi="Times New Roman" w:cs="Times New Roman"/>
          <w:sz w:val="24"/>
          <w:szCs w:val="24"/>
        </w:rPr>
        <w:t xml:space="preserve">1 and for the first </w:t>
      </w:r>
      <w:r w:rsidR="00D52EA6">
        <w:rPr>
          <w:rFonts w:ascii="Times New Roman" w:hAnsi="Times New Roman" w:cs="Times New Roman"/>
          <w:sz w:val="24"/>
          <w:szCs w:val="24"/>
        </w:rPr>
        <w:t xml:space="preserve">three quarters </w:t>
      </w:r>
      <w:r>
        <w:rPr>
          <w:rFonts w:ascii="Times New Roman" w:hAnsi="Times New Roman" w:cs="Times New Roman"/>
          <w:sz w:val="24"/>
          <w:szCs w:val="24"/>
        </w:rPr>
        <w:t>of FY 2012.</w:t>
      </w:r>
    </w:p>
    <w:p w:rsidR="005C0D5A" w:rsidRPr="002C44F6" w:rsidRDefault="005C0D5A" w:rsidP="005C0D5A">
      <w:pPr>
        <w:spacing w:line="240" w:lineRule="auto"/>
        <w:jc w:val="center"/>
        <w:rPr>
          <w:rFonts w:ascii="Times New Roman" w:hAnsi="Times New Roman" w:cs="Times New Roman"/>
          <w:sz w:val="24"/>
          <w:szCs w:val="24"/>
          <w:u w:val="single"/>
        </w:rPr>
      </w:pPr>
      <w:r w:rsidRPr="002C44F6">
        <w:rPr>
          <w:rFonts w:ascii="Times New Roman" w:hAnsi="Times New Roman" w:cs="Times New Roman"/>
          <w:sz w:val="24"/>
          <w:szCs w:val="24"/>
          <w:u w:val="single"/>
        </w:rPr>
        <w:t>Table 1: SNF Case-Mix Distributions by Major RUG-IV Category</w:t>
      </w:r>
    </w:p>
    <w:tbl>
      <w:tblPr>
        <w:tblStyle w:val="TableGrid"/>
        <w:tblW w:w="0" w:type="auto"/>
        <w:jc w:val="center"/>
        <w:tblLook w:val="04A0"/>
      </w:tblPr>
      <w:tblGrid>
        <w:gridCol w:w="5363"/>
        <w:gridCol w:w="1076"/>
        <w:gridCol w:w="1257"/>
      </w:tblGrid>
      <w:tr w:rsidR="005C0D5A" w:rsidTr="005C0D5A">
        <w:trPr>
          <w:jc w:val="center"/>
        </w:trPr>
        <w:tc>
          <w:tcPr>
            <w:tcW w:w="0" w:type="auto"/>
            <w:tcBorders>
              <w:top w:val="nil"/>
              <w:left w:val="nil"/>
            </w:tcBorders>
          </w:tcPr>
          <w:p w:rsidR="005C0D5A" w:rsidRDefault="005C0D5A" w:rsidP="005C0D5A">
            <w:pPr>
              <w:jc w:val="center"/>
              <w:rPr>
                <w:rFonts w:ascii="Times New Roman" w:hAnsi="Times New Roman" w:cs="Times New Roman"/>
                <w:sz w:val="24"/>
                <w:szCs w:val="24"/>
              </w:rPr>
            </w:pPr>
          </w:p>
        </w:tc>
        <w:tc>
          <w:tcPr>
            <w:tcW w:w="0" w:type="auto"/>
          </w:tcPr>
          <w:p w:rsidR="005C0D5A" w:rsidRPr="005C0D5A" w:rsidRDefault="005C0D5A" w:rsidP="005C0D5A">
            <w:pPr>
              <w:jc w:val="center"/>
              <w:rPr>
                <w:rFonts w:ascii="Times New Roman" w:hAnsi="Times New Roman" w:cs="Times New Roman"/>
                <w:b/>
                <w:sz w:val="24"/>
                <w:szCs w:val="24"/>
              </w:rPr>
            </w:pPr>
            <w:r w:rsidRPr="005C0D5A">
              <w:rPr>
                <w:rFonts w:ascii="Times New Roman" w:hAnsi="Times New Roman" w:cs="Times New Roman"/>
                <w:b/>
                <w:sz w:val="24"/>
                <w:szCs w:val="24"/>
              </w:rPr>
              <w:t>FY 2011</w:t>
            </w:r>
          </w:p>
        </w:tc>
        <w:tc>
          <w:tcPr>
            <w:tcW w:w="0" w:type="auto"/>
          </w:tcPr>
          <w:p w:rsidR="00886293" w:rsidRDefault="00886293" w:rsidP="005C0D5A">
            <w:pPr>
              <w:jc w:val="center"/>
              <w:rPr>
                <w:rFonts w:ascii="Times New Roman" w:hAnsi="Times New Roman" w:cs="Times New Roman"/>
                <w:b/>
                <w:sz w:val="24"/>
                <w:szCs w:val="24"/>
              </w:rPr>
            </w:pPr>
            <w:r>
              <w:rPr>
                <w:rFonts w:ascii="Times New Roman" w:hAnsi="Times New Roman" w:cs="Times New Roman"/>
                <w:b/>
                <w:sz w:val="24"/>
                <w:szCs w:val="24"/>
              </w:rPr>
              <w:t>Q1</w:t>
            </w:r>
            <w:r w:rsidR="008657F5">
              <w:rPr>
                <w:rFonts w:ascii="Times New Roman" w:hAnsi="Times New Roman" w:cs="Times New Roman"/>
                <w:b/>
                <w:sz w:val="24"/>
                <w:szCs w:val="24"/>
              </w:rPr>
              <w:t>,</w:t>
            </w:r>
            <w:r>
              <w:rPr>
                <w:rFonts w:ascii="Times New Roman" w:hAnsi="Times New Roman" w:cs="Times New Roman"/>
                <w:b/>
                <w:sz w:val="24"/>
                <w:szCs w:val="24"/>
              </w:rPr>
              <w:t>Q2</w:t>
            </w:r>
            <w:r w:rsidR="008657F5">
              <w:rPr>
                <w:rFonts w:ascii="Times New Roman" w:hAnsi="Times New Roman" w:cs="Times New Roman"/>
                <w:b/>
                <w:sz w:val="24"/>
                <w:szCs w:val="24"/>
              </w:rPr>
              <w:t>,Q3</w:t>
            </w:r>
          </w:p>
          <w:p w:rsidR="005C0D5A" w:rsidRPr="005C0D5A" w:rsidRDefault="005C0D5A" w:rsidP="005C0D5A">
            <w:pPr>
              <w:jc w:val="center"/>
              <w:rPr>
                <w:rFonts w:ascii="Times New Roman" w:hAnsi="Times New Roman" w:cs="Times New Roman"/>
                <w:b/>
                <w:sz w:val="24"/>
                <w:szCs w:val="24"/>
              </w:rPr>
            </w:pPr>
            <w:r w:rsidRPr="005C0D5A">
              <w:rPr>
                <w:rFonts w:ascii="Times New Roman" w:hAnsi="Times New Roman" w:cs="Times New Roman"/>
                <w:b/>
                <w:sz w:val="24"/>
                <w:szCs w:val="24"/>
              </w:rPr>
              <w:t>FY 2012</w:t>
            </w:r>
          </w:p>
        </w:tc>
      </w:tr>
      <w:tr w:rsidR="00EA1DF9" w:rsidTr="008916B6">
        <w:trPr>
          <w:jc w:val="center"/>
        </w:trPr>
        <w:tc>
          <w:tcPr>
            <w:tcW w:w="0" w:type="auto"/>
          </w:tcPr>
          <w:p w:rsidR="00EA1DF9" w:rsidRPr="005C0D5A" w:rsidRDefault="00EA1DF9" w:rsidP="005C0D5A">
            <w:pPr>
              <w:rPr>
                <w:rFonts w:ascii="Times New Roman" w:hAnsi="Times New Roman" w:cs="Times New Roman"/>
                <w:b/>
                <w:sz w:val="24"/>
                <w:szCs w:val="24"/>
              </w:rPr>
            </w:pPr>
            <w:r w:rsidRPr="005C0D5A">
              <w:rPr>
                <w:rFonts w:ascii="Times New Roman" w:hAnsi="Times New Roman" w:cs="Times New Roman"/>
                <w:b/>
                <w:sz w:val="24"/>
                <w:szCs w:val="24"/>
              </w:rPr>
              <w:t>Rehabilitation Plus Extensive Services</w:t>
            </w:r>
          </w:p>
        </w:tc>
        <w:tc>
          <w:tcPr>
            <w:tcW w:w="0" w:type="auto"/>
          </w:tcPr>
          <w:p w:rsidR="00EA1DF9" w:rsidRDefault="008916B6" w:rsidP="005C0D5A">
            <w:pPr>
              <w:jc w:val="center"/>
              <w:rPr>
                <w:rFonts w:ascii="Times New Roman" w:hAnsi="Times New Roman" w:cs="Times New Roman"/>
                <w:sz w:val="24"/>
                <w:szCs w:val="24"/>
              </w:rPr>
            </w:pPr>
            <w:r>
              <w:rPr>
                <w:rFonts w:ascii="Times New Roman" w:hAnsi="Times New Roman" w:cs="Times New Roman"/>
                <w:sz w:val="24"/>
                <w:szCs w:val="24"/>
              </w:rPr>
              <w:t>2.5</w:t>
            </w:r>
            <w:r w:rsidR="00EA1DF9">
              <w:rPr>
                <w:rFonts w:ascii="Times New Roman" w:hAnsi="Times New Roman" w:cs="Times New Roman"/>
                <w:sz w:val="24"/>
                <w:szCs w:val="24"/>
              </w:rPr>
              <w:t>%</w:t>
            </w:r>
          </w:p>
        </w:tc>
        <w:tc>
          <w:tcPr>
            <w:tcW w:w="0" w:type="auto"/>
            <w:vAlign w:val="bottom"/>
          </w:tcPr>
          <w:p w:rsidR="00EA1DF9" w:rsidRPr="00EA1DF9" w:rsidRDefault="00EA1DF9">
            <w:pPr>
              <w:jc w:val="right"/>
              <w:rPr>
                <w:rFonts w:ascii="Times New Roman" w:hAnsi="Times New Roman" w:cs="Times New Roman"/>
                <w:sz w:val="24"/>
                <w:szCs w:val="24"/>
              </w:rPr>
            </w:pPr>
            <w:r w:rsidRPr="00EA1DF9">
              <w:rPr>
                <w:rFonts w:ascii="Times New Roman" w:hAnsi="Times New Roman" w:cs="Times New Roman"/>
                <w:sz w:val="24"/>
                <w:szCs w:val="24"/>
              </w:rPr>
              <w:t>1.8%</w:t>
            </w:r>
          </w:p>
        </w:tc>
      </w:tr>
      <w:tr w:rsidR="00EA1DF9" w:rsidTr="008916B6">
        <w:trPr>
          <w:jc w:val="center"/>
        </w:trPr>
        <w:tc>
          <w:tcPr>
            <w:tcW w:w="0" w:type="auto"/>
          </w:tcPr>
          <w:p w:rsidR="00EA1DF9" w:rsidRPr="005C0D5A" w:rsidRDefault="00EA1DF9" w:rsidP="005C0D5A">
            <w:pPr>
              <w:rPr>
                <w:rFonts w:ascii="Times New Roman" w:hAnsi="Times New Roman" w:cs="Times New Roman"/>
                <w:b/>
                <w:sz w:val="24"/>
                <w:szCs w:val="24"/>
              </w:rPr>
            </w:pPr>
            <w:r w:rsidRPr="005C0D5A">
              <w:rPr>
                <w:rFonts w:ascii="Times New Roman" w:hAnsi="Times New Roman" w:cs="Times New Roman"/>
                <w:b/>
                <w:sz w:val="24"/>
                <w:szCs w:val="24"/>
              </w:rPr>
              <w:t>Rehabilitation</w:t>
            </w:r>
          </w:p>
        </w:tc>
        <w:tc>
          <w:tcPr>
            <w:tcW w:w="0" w:type="auto"/>
          </w:tcPr>
          <w:p w:rsidR="00EA1DF9" w:rsidRDefault="008916B6" w:rsidP="007D6C82">
            <w:pPr>
              <w:jc w:val="center"/>
              <w:rPr>
                <w:rFonts w:ascii="Times New Roman" w:hAnsi="Times New Roman" w:cs="Times New Roman"/>
                <w:sz w:val="24"/>
                <w:szCs w:val="24"/>
              </w:rPr>
            </w:pPr>
            <w:r>
              <w:rPr>
                <w:rFonts w:ascii="Times New Roman" w:hAnsi="Times New Roman" w:cs="Times New Roman"/>
                <w:sz w:val="24"/>
                <w:szCs w:val="24"/>
              </w:rPr>
              <w:t>87.9</w:t>
            </w:r>
            <w:r w:rsidR="00EA1DF9">
              <w:rPr>
                <w:rFonts w:ascii="Times New Roman" w:hAnsi="Times New Roman" w:cs="Times New Roman"/>
                <w:sz w:val="24"/>
                <w:szCs w:val="24"/>
              </w:rPr>
              <w:t>%</w:t>
            </w:r>
          </w:p>
        </w:tc>
        <w:tc>
          <w:tcPr>
            <w:tcW w:w="0" w:type="auto"/>
            <w:vAlign w:val="bottom"/>
          </w:tcPr>
          <w:p w:rsidR="00EA1DF9" w:rsidRPr="00EA1DF9" w:rsidRDefault="00EA1DF9">
            <w:pPr>
              <w:jc w:val="right"/>
              <w:rPr>
                <w:rFonts w:ascii="Times New Roman" w:hAnsi="Times New Roman" w:cs="Times New Roman"/>
                <w:sz w:val="24"/>
                <w:szCs w:val="24"/>
              </w:rPr>
            </w:pPr>
            <w:r w:rsidRPr="00EA1DF9">
              <w:rPr>
                <w:rFonts w:ascii="Times New Roman" w:hAnsi="Times New Roman" w:cs="Times New Roman"/>
                <w:sz w:val="24"/>
                <w:szCs w:val="24"/>
              </w:rPr>
              <w:t>88.5%</w:t>
            </w:r>
          </w:p>
        </w:tc>
      </w:tr>
      <w:tr w:rsidR="00EA1DF9" w:rsidTr="008916B6">
        <w:trPr>
          <w:jc w:val="center"/>
        </w:trPr>
        <w:tc>
          <w:tcPr>
            <w:tcW w:w="0" w:type="auto"/>
          </w:tcPr>
          <w:p w:rsidR="00EA1DF9" w:rsidRPr="005C0D5A" w:rsidRDefault="00EA1DF9" w:rsidP="005C0D5A">
            <w:pPr>
              <w:rPr>
                <w:rFonts w:ascii="Times New Roman" w:hAnsi="Times New Roman" w:cs="Times New Roman"/>
                <w:b/>
                <w:sz w:val="24"/>
                <w:szCs w:val="24"/>
              </w:rPr>
            </w:pPr>
            <w:r w:rsidRPr="005C0D5A">
              <w:rPr>
                <w:rFonts w:ascii="Times New Roman" w:hAnsi="Times New Roman" w:cs="Times New Roman"/>
                <w:b/>
                <w:sz w:val="24"/>
                <w:szCs w:val="24"/>
              </w:rPr>
              <w:t>Extensive Services</w:t>
            </w:r>
          </w:p>
        </w:tc>
        <w:tc>
          <w:tcPr>
            <w:tcW w:w="0" w:type="auto"/>
          </w:tcPr>
          <w:p w:rsidR="00EA1DF9" w:rsidRDefault="00EA1DF9" w:rsidP="005C0D5A">
            <w:pPr>
              <w:jc w:val="center"/>
              <w:rPr>
                <w:rFonts w:ascii="Times New Roman" w:hAnsi="Times New Roman" w:cs="Times New Roman"/>
                <w:sz w:val="24"/>
                <w:szCs w:val="24"/>
              </w:rPr>
            </w:pPr>
            <w:r>
              <w:rPr>
                <w:rFonts w:ascii="Times New Roman" w:hAnsi="Times New Roman" w:cs="Times New Roman"/>
                <w:sz w:val="24"/>
                <w:szCs w:val="24"/>
              </w:rPr>
              <w:t>0.6%</w:t>
            </w:r>
          </w:p>
        </w:tc>
        <w:tc>
          <w:tcPr>
            <w:tcW w:w="0" w:type="auto"/>
            <w:vAlign w:val="bottom"/>
          </w:tcPr>
          <w:p w:rsidR="00EA1DF9" w:rsidRPr="00EA1DF9" w:rsidRDefault="00EA1DF9">
            <w:pPr>
              <w:jc w:val="right"/>
              <w:rPr>
                <w:rFonts w:ascii="Times New Roman" w:hAnsi="Times New Roman" w:cs="Times New Roman"/>
                <w:sz w:val="24"/>
                <w:szCs w:val="24"/>
              </w:rPr>
            </w:pPr>
            <w:r w:rsidRPr="00EA1DF9">
              <w:rPr>
                <w:rFonts w:ascii="Times New Roman" w:hAnsi="Times New Roman" w:cs="Times New Roman"/>
                <w:sz w:val="24"/>
                <w:szCs w:val="24"/>
              </w:rPr>
              <w:t>0.7%</w:t>
            </w:r>
          </w:p>
        </w:tc>
      </w:tr>
      <w:tr w:rsidR="00EA1DF9" w:rsidTr="008916B6">
        <w:trPr>
          <w:jc w:val="center"/>
        </w:trPr>
        <w:tc>
          <w:tcPr>
            <w:tcW w:w="0" w:type="auto"/>
          </w:tcPr>
          <w:p w:rsidR="00EA1DF9" w:rsidRPr="005C0D5A" w:rsidRDefault="00EA1DF9" w:rsidP="005C0D5A">
            <w:pPr>
              <w:rPr>
                <w:rFonts w:ascii="Times New Roman" w:hAnsi="Times New Roman" w:cs="Times New Roman"/>
                <w:b/>
                <w:sz w:val="24"/>
                <w:szCs w:val="24"/>
              </w:rPr>
            </w:pPr>
            <w:r w:rsidRPr="005C0D5A">
              <w:rPr>
                <w:rFonts w:ascii="Times New Roman" w:hAnsi="Times New Roman" w:cs="Times New Roman"/>
                <w:b/>
                <w:sz w:val="24"/>
                <w:szCs w:val="24"/>
              </w:rPr>
              <w:t>Special Care</w:t>
            </w:r>
          </w:p>
        </w:tc>
        <w:tc>
          <w:tcPr>
            <w:tcW w:w="0" w:type="auto"/>
          </w:tcPr>
          <w:p w:rsidR="00EA1DF9" w:rsidRDefault="008916B6" w:rsidP="00FE0E96">
            <w:pPr>
              <w:jc w:val="center"/>
              <w:rPr>
                <w:rFonts w:ascii="Times New Roman" w:hAnsi="Times New Roman" w:cs="Times New Roman"/>
                <w:sz w:val="24"/>
                <w:szCs w:val="24"/>
              </w:rPr>
            </w:pPr>
            <w:r>
              <w:rPr>
                <w:rFonts w:ascii="Times New Roman" w:hAnsi="Times New Roman" w:cs="Times New Roman"/>
                <w:sz w:val="24"/>
                <w:szCs w:val="24"/>
              </w:rPr>
              <w:t>4.6</w:t>
            </w:r>
            <w:r w:rsidR="00EA1DF9">
              <w:rPr>
                <w:rFonts w:ascii="Times New Roman" w:hAnsi="Times New Roman" w:cs="Times New Roman"/>
                <w:sz w:val="24"/>
                <w:szCs w:val="24"/>
              </w:rPr>
              <w:t>%</w:t>
            </w:r>
          </w:p>
        </w:tc>
        <w:tc>
          <w:tcPr>
            <w:tcW w:w="0" w:type="auto"/>
            <w:vAlign w:val="bottom"/>
          </w:tcPr>
          <w:p w:rsidR="00EA1DF9" w:rsidRPr="00EA1DF9" w:rsidRDefault="00EA1DF9" w:rsidP="00DC4E6A">
            <w:pPr>
              <w:jc w:val="right"/>
              <w:rPr>
                <w:rFonts w:ascii="Times New Roman" w:hAnsi="Times New Roman" w:cs="Times New Roman"/>
                <w:sz w:val="24"/>
                <w:szCs w:val="24"/>
              </w:rPr>
            </w:pPr>
            <w:r w:rsidRPr="00EA1DF9">
              <w:rPr>
                <w:rFonts w:ascii="Times New Roman" w:hAnsi="Times New Roman" w:cs="Times New Roman"/>
                <w:sz w:val="24"/>
                <w:szCs w:val="24"/>
              </w:rPr>
              <w:t>5.</w:t>
            </w:r>
            <w:r w:rsidR="00DC4E6A">
              <w:rPr>
                <w:rFonts w:ascii="Times New Roman" w:hAnsi="Times New Roman" w:cs="Times New Roman"/>
                <w:sz w:val="24"/>
                <w:szCs w:val="24"/>
              </w:rPr>
              <w:t>1</w:t>
            </w:r>
            <w:r w:rsidRPr="00EA1DF9">
              <w:rPr>
                <w:rFonts w:ascii="Times New Roman" w:hAnsi="Times New Roman" w:cs="Times New Roman"/>
                <w:sz w:val="24"/>
                <w:szCs w:val="24"/>
              </w:rPr>
              <w:t>%</w:t>
            </w:r>
          </w:p>
        </w:tc>
      </w:tr>
      <w:tr w:rsidR="00EA1DF9" w:rsidTr="008916B6">
        <w:trPr>
          <w:jc w:val="center"/>
        </w:trPr>
        <w:tc>
          <w:tcPr>
            <w:tcW w:w="0" w:type="auto"/>
          </w:tcPr>
          <w:p w:rsidR="00EA1DF9" w:rsidRPr="005C0D5A" w:rsidRDefault="00EA1DF9" w:rsidP="005C0D5A">
            <w:pPr>
              <w:rPr>
                <w:rFonts w:ascii="Times New Roman" w:hAnsi="Times New Roman" w:cs="Times New Roman"/>
                <w:b/>
                <w:sz w:val="24"/>
                <w:szCs w:val="24"/>
              </w:rPr>
            </w:pPr>
            <w:r w:rsidRPr="005C0D5A">
              <w:rPr>
                <w:rFonts w:ascii="Times New Roman" w:hAnsi="Times New Roman" w:cs="Times New Roman"/>
                <w:b/>
                <w:sz w:val="24"/>
                <w:szCs w:val="24"/>
              </w:rPr>
              <w:t>Clinically Complex</w:t>
            </w:r>
          </w:p>
        </w:tc>
        <w:tc>
          <w:tcPr>
            <w:tcW w:w="0" w:type="auto"/>
          </w:tcPr>
          <w:p w:rsidR="00EA1DF9" w:rsidRDefault="008916B6" w:rsidP="007D6C82">
            <w:pPr>
              <w:jc w:val="center"/>
              <w:rPr>
                <w:rFonts w:ascii="Times New Roman" w:hAnsi="Times New Roman" w:cs="Times New Roman"/>
                <w:sz w:val="24"/>
                <w:szCs w:val="24"/>
              </w:rPr>
            </w:pPr>
            <w:r>
              <w:rPr>
                <w:rFonts w:ascii="Times New Roman" w:hAnsi="Times New Roman" w:cs="Times New Roman"/>
                <w:sz w:val="24"/>
                <w:szCs w:val="24"/>
              </w:rPr>
              <w:t>2.5</w:t>
            </w:r>
            <w:r w:rsidR="00EA1DF9">
              <w:rPr>
                <w:rFonts w:ascii="Times New Roman" w:hAnsi="Times New Roman" w:cs="Times New Roman"/>
                <w:sz w:val="24"/>
                <w:szCs w:val="24"/>
              </w:rPr>
              <w:t>%</w:t>
            </w:r>
          </w:p>
        </w:tc>
        <w:tc>
          <w:tcPr>
            <w:tcW w:w="0" w:type="auto"/>
            <w:vAlign w:val="bottom"/>
          </w:tcPr>
          <w:p w:rsidR="00EA1DF9" w:rsidRPr="00EA1DF9" w:rsidRDefault="00EA1DF9" w:rsidP="008657F5">
            <w:pPr>
              <w:jc w:val="right"/>
              <w:rPr>
                <w:rFonts w:ascii="Times New Roman" w:hAnsi="Times New Roman" w:cs="Times New Roman"/>
                <w:sz w:val="24"/>
                <w:szCs w:val="24"/>
              </w:rPr>
            </w:pPr>
            <w:r w:rsidRPr="00EA1DF9">
              <w:rPr>
                <w:rFonts w:ascii="Times New Roman" w:hAnsi="Times New Roman" w:cs="Times New Roman"/>
                <w:sz w:val="24"/>
                <w:szCs w:val="24"/>
              </w:rPr>
              <w:t>2.</w:t>
            </w:r>
            <w:r w:rsidR="008657F5">
              <w:rPr>
                <w:rFonts w:ascii="Times New Roman" w:hAnsi="Times New Roman" w:cs="Times New Roman"/>
                <w:sz w:val="24"/>
                <w:szCs w:val="24"/>
              </w:rPr>
              <w:t>2</w:t>
            </w:r>
            <w:r w:rsidRPr="00EA1DF9">
              <w:rPr>
                <w:rFonts w:ascii="Times New Roman" w:hAnsi="Times New Roman" w:cs="Times New Roman"/>
                <w:sz w:val="24"/>
                <w:szCs w:val="24"/>
              </w:rPr>
              <w:t>%</w:t>
            </w:r>
          </w:p>
        </w:tc>
      </w:tr>
      <w:tr w:rsidR="00EA1DF9" w:rsidTr="008916B6">
        <w:trPr>
          <w:jc w:val="center"/>
        </w:trPr>
        <w:tc>
          <w:tcPr>
            <w:tcW w:w="0" w:type="auto"/>
          </w:tcPr>
          <w:p w:rsidR="00EA1DF9" w:rsidRPr="005C0D5A" w:rsidRDefault="00EA1DF9" w:rsidP="005C0D5A">
            <w:pPr>
              <w:rPr>
                <w:rFonts w:ascii="Times New Roman" w:hAnsi="Times New Roman" w:cs="Times New Roman"/>
                <w:b/>
                <w:sz w:val="24"/>
                <w:szCs w:val="24"/>
              </w:rPr>
            </w:pPr>
            <w:r w:rsidRPr="005C0D5A">
              <w:rPr>
                <w:rFonts w:ascii="Times New Roman" w:hAnsi="Times New Roman" w:cs="Times New Roman"/>
                <w:b/>
                <w:sz w:val="24"/>
                <w:szCs w:val="24"/>
              </w:rPr>
              <w:t>Behavioral Symptoms and Cognitive Performance</w:t>
            </w:r>
          </w:p>
        </w:tc>
        <w:tc>
          <w:tcPr>
            <w:tcW w:w="0" w:type="auto"/>
          </w:tcPr>
          <w:p w:rsidR="00EA1DF9" w:rsidRDefault="008916B6" w:rsidP="007D6C82">
            <w:pPr>
              <w:jc w:val="center"/>
              <w:rPr>
                <w:rFonts w:ascii="Times New Roman" w:hAnsi="Times New Roman" w:cs="Times New Roman"/>
                <w:sz w:val="24"/>
                <w:szCs w:val="24"/>
              </w:rPr>
            </w:pPr>
            <w:r>
              <w:rPr>
                <w:rFonts w:ascii="Times New Roman" w:hAnsi="Times New Roman" w:cs="Times New Roman"/>
                <w:sz w:val="24"/>
                <w:szCs w:val="24"/>
              </w:rPr>
              <w:t>0.4</w:t>
            </w:r>
            <w:r w:rsidR="00EA1DF9">
              <w:rPr>
                <w:rFonts w:ascii="Times New Roman" w:hAnsi="Times New Roman" w:cs="Times New Roman"/>
                <w:sz w:val="24"/>
                <w:szCs w:val="24"/>
              </w:rPr>
              <w:t>%</w:t>
            </w:r>
          </w:p>
        </w:tc>
        <w:tc>
          <w:tcPr>
            <w:tcW w:w="0" w:type="auto"/>
            <w:vAlign w:val="bottom"/>
          </w:tcPr>
          <w:p w:rsidR="00EA1DF9" w:rsidRPr="00EA1DF9" w:rsidRDefault="00EA1DF9">
            <w:pPr>
              <w:jc w:val="right"/>
              <w:rPr>
                <w:rFonts w:ascii="Times New Roman" w:hAnsi="Times New Roman" w:cs="Times New Roman"/>
                <w:sz w:val="24"/>
                <w:szCs w:val="24"/>
              </w:rPr>
            </w:pPr>
            <w:r w:rsidRPr="00EA1DF9">
              <w:rPr>
                <w:rFonts w:ascii="Times New Roman" w:hAnsi="Times New Roman" w:cs="Times New Roman"/>
                <w:sz w:val="24"/>
                <w:szCs w:val="24"/>
              </w:rPr>
              <w:t>0.3%</w:t>
            </w:r>
          </w:p>
        </w:tc>
      </w:tr>
      <w:tr w:rsidR="00EA1DF9" w:rsidTr="008916B6">
        <w:trPr>
          <w:jc w:val="center"/>
        </w:trPr>
        <w:tc>
          <w:tcPr>
            <w:tcW w:w="0" w:type="auto"/>
          </w:tcPr>
          <w:p w:rsidR="00EA1DF9" w:rsidRPr="005C0D5A" w:rsidRDefault="00EA1DF9" w:rsidP="005C0D5A">
            <w:pPr>
              <w:rPr>
                <w:rFonts w:ascii="Times New Roman" w:hAnsi="Times New Roman" w:cs="Times New Roman"/>
                <w:b/>
                <w:sz w:val="24"/>
                <w:szCs w:val="24"/>
              </w:rPr>
            </w:pPr>
            <w:r w:rsidRPr="005C0D5A">
              <w:rPr>
                <w:rFonts w:ascii="Times New Roman" w:hAnsi="Times New Roman" w:cs="Times New Roman"/>
                <w:b/>
                <w:sz w:val="24"/>
                <w:szCs w:val="24"/>
              </w:rPr>
              <w:t>Reduced Physical Function</w:t>
            </w:r>
          </w:p>
        </w:tc>
        <w:tc>
          <w:tcPr>
            <w:tcW w:w="0" w:type="auto"/>
          </w:tcPr>
          <w:p w:rsidR="00EA1DF9" w:rsidRDefault="008916B6" w:rsidP="007D6C82">
            <w:pPr>
              <w:jc w:val="center"/>
              <w:rPr>
                <w:rFonts w:ascii="Times New Roman" w:hAnsi="Times New Roman" w:cs="Times New Roman"/>
                <w:sz w:val="24"/>
                <w:szCs w:val="24"/>
              </w:rPr>
            </w:pPr>
            <w:r>
              <w:rPr>
                <w:rFonts w:ascii="Times New Roman" w:hAnsi="Times New Roman" w:cs="Times New Roman"/>
                <w:sz w:val="24"/>
                <w:szCs w:val="24"/>
              </w:rPr>
              <w:t>1.5</w:t>
            </w:r>
            <w:r w:rsidR="00EA1DF9">
              <w:rPr>
                <w:rFonts w:ascii="Times New Roman" w:hAnsi="Times New Roman" w:cs="Times New Roman"/>
                <w:sz w:val="24"/>
                <w:szCs w:val="24"/>
              </w:rPr>
              <w:t>%</w:t>
            </w:r>
          </w:p>
        </w:tc>
        <w:tc>
          <w:tcPr>
            <w:tcW w:w="0" w:type="auto"/>
            <w:vAlign w:val="bottom"/>
          </w:tcPr>
          <w:p w:rsidR="00EA1DF9" w:rsidRPr="00EA1DF9" w:rsidRDefault="00EA1DF9" w:rsidP="008657F5">
            <w:pPr>
              <w:jc w:val="right"/>
              <w:rPr>
                <w:rFonts w:ascii="Times New Roman" w:hAnsi="Times New Roman" w:cs="Times New Roman"/>
                <w:sz w:val="24"/>
                <w:szCs w:val="24"/>
              </w:rPr>
            </w:pPr>
            <w:r w:rsidRPr="00EA1DF9">
              <w:rPr>
                <w:rFonts w:ascii="Times New Roman" w:hAnsi="Times New Roman" w:cs="Times New Roman"/>
                <w:sz w:val="24"/>
                <w:szCs w:val="24"/>
              </w:rPr>
              <w:t>1.</w:t>
            </w:r>
            <w:r w:rsidR="008657F5">
              <w:rPr>
                <w:rFonts w:ascii="Times New Roman" w:hAnsi="Times New Roman" w:cs="Times New Roman"/>
                <w:sz w:val="24"/>
                <w:szCs w:val="24"/>
              </w:rPr>
              <w:t>4</w:t>
            </w:r>
            <w:r w:rsidRPr="00EA1DF9">
              <w:rPr>
                <w:rFonts w:ascii="Times New Roman" w:hAnsi="Times New Roman" w:cs="Times New Roman"/>
                <w:sz w:val="24"/>
                <w:szCs w:val="24"/>
              </w:rPr>
              <w:t>%</w:t>
            </w:r>
          </w:p>
        </w:tc>
      </w:tr>
    </w:tbl>
    <w:p w:rsidR="005C0D5A" w:rsidRPr="00AE341C" w:rsidRDefault="00CC149D" w:rsidP="00AE341C">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454F95" w:rsidRDefault="005C0D5A" w:rsidP="008916B6">
      <w:pPr>
        <w:pStyle w:val="ListParagraph"/>
        <w:spacing w:line="240" w:lineRule="auto"/>
        <w:ind w:left="0" w:firstLine="360"/>
        <w:rPr>
          <w:rFonts w:ascii="Times New Roman" w:hAnsi="Times New Roman" w:cs="Times New Roman"/>
          <w:sz w:val="24"/>
          <w:szCs w:val="24"/>
        </w:rPr>
      </w:pPr>
      <w:r w:rsidRPr="00454F95">
        <w:rPr>
          <w:rFonts w:ascii="Times New Roman" w:hAnsi="Times New Roman" w:cs="Times New Roman"/>
          <w:sz w:val="24"/>
          <w:szCs w:val="24"/>
        </w:rPr>
        <w:lastRenderedPageBreak/>
        <w:t>As il</w:t>
      </w:r>
      <w:r w:rsidR="008916B6">
        <w:rPr>
          <w:rFonts w:ascii="Times New Roman" w:hAnsi="Times New Roman" w:cs="Times New Roman"/>
          <w:sz w:val="24"/>
          <w:szCs w:val="24"/>
        </w:rPr>
        <w:t xml:space="preserve">lustrated in Table 1, there </w:t>
      </w:r>
      <w:r w:rsidR="00067C27">
        <w:rPr>
          <w:rFonts w:ascii="Times New Roman" w:hAnsi="Times New Roman" w:cs="Times New Roman"/>
          <w:sz w:val="24"/>
          <w:szCs w:val="24"/>
        </w:rPr>
        <w:t>have been small decreases</w:t>
      </w:r>
      <w:r w:rsidRPr="00454F95">
        <w:rPr>
          <w:rFonts w:ascii="Times New Roman" w:hAnsi="Times New Roman" w:cs="Times New Roman"/>
          <w:sz w:val="24"/>
          <w:szCs w:val="24"/>
        </w:rPr>
        <w:t xml:space="preserve"> in both the Rehabilitation </w:t>
      </w:r>
      <w:proofErr w:type="gramStart"/>
      <w:r w:rsidRPr="00454F95">
        <w:rPr>
          <w:rFonts w:ascii="Times New Roman" w:hAnsi="Times New Roman" w:cs="Times New Roman"/>
          <w:sz w:val="24"/>
          <w:szCs w:val="24"/>
        </w:rPr>
        <w:t>Pl</w:t>
      </w:r>
      <w:r w:rsidR="008916B6">
        <w:rPr>
          <w:rFonts w:ascii="Times New Roman" w:hAnsi="Times New Roman" w:cs="Times New Roman"/>
          <w:sz w:val="24"/>
          <w:szCs w:val="24"/>
        </w:rPr>
        <w:t>us</w:t>
      </w:r>
      <w:proofErr w:type="gramEnd"/>
      <w:r w:rsidR="008916B6">
        <w:rPr>
          <w:rFonts w:ascii="Times New Roman" w:hAnsi="Times New Roman" w:cs="Times New Roman"/>
          <w:sz w:val="24"/>
          <w:szCs w:val="24"/>
        </w:rPr>
        <w:t xml:space="preserve"> Extensive Services category and in the overall percentage of service days </w:t>
      </w:r>
      <w:r w:rsidR="00067C27">
        <w:rPr>
          <w:rFonts w:ascii="Times New Roman" w:hAnsi="Times New Roman" w:cs="Times New Roman"/>
          <w:sz w:val="24"/>
          <w:szCs w:val="24"/>
        </w:rPr>
        <w:t>in a rehabilitation group</w:t>
      </w:r>
      <w:r w:rsidRPr="00454F95">
        <w:rPr>
          <w:rFonts w:ascii="Times New Roman" w:hAnsi="Times New Roman" w:cs="Times New Roman"/>
          <w:sz w:val="24"/>
          <w:szCs w:val="24"/>
        </w:rPr>
        <w:t xml:space="preserve">, </w:t>
      </w:r>
      <w:r w:rsidR="00454F95">
        <w:rPr>
          <w:rFonts w:ascii="Times New Roman" w:hAnsi="Times New Roman" w:cs="Times New Roman"/>
          <w:sz w:val="24"/>
          <w:szCs w:val="24"/>
        </w:rPr>
        <w:t xml:space="preserve">and </w:t>
      </w:r>
      <w:r w:rsidRPr="00454F95">
        <w:rPr>
          <w:rFonts w:ascii="Times New Roman" w:hAnsi="Times New Roman" w:cs="Times New Roman"/>
          <w:sz w:val="24"/>
          <w:szCs w:val="24"/>
        </w:rPr>
        <w:t xml:space="preserve">increases in some of the medically-based RUG categories, most notably </w:t>
      </w:r>
      <w:r w:rsidR="00EB5615" w:rsidRPr="00454F95">
        <w:rPr>
          <w:rFonts w:ascii="Times New Roman" w:hAnsi="Times New Roman" w:cs="Times New Roman"/>
          <w:sz w:val="24"/>
          <w:szCs w:val="24"/>
        </w:rPr>
        <w:t>Special Care. It should be noted that the recalibration of the parity adjustment applied only</w:t>
      </w:r>
      <w:r w:rsidR="00454F95">
        <w:rPr>
          <w:rFonts w:ascii="Times New Roman" w:hAnsi="Times New Roman" w:cs="Times New Roman"/>
          <w:sz w:val="24"/>
          <w:szCs w:val="24"/>
        </w:rPr>
        <w:t xml:space="preserve"> to</w:t>
      </w:r>
      <w:r w:rsidR="00EB5615" w:rsidRPr="00454F95">
        <w:rPr>
          <w:rFonts w:ascii="Times New Roman" w:hAnsi="Times New Roman" w:cs="Times New Roman"/>
          <w:sz w:val="24"/>
          <w:szCs w:val="24"/>
        </w:rPr>
        <w:t xml:space="preserve"> those RUG-IV groups connected to therapy (Rehabilitation </w:t>
      </w:r>
      <w:proofErr w:type="gramStart"/>
      <w:r w:rsidR="00EB5615" w:rsidRPr="00454F95">
        <w:rPr>
          <w:rFonts w:ascii="Times New Roman" w:hAnsi="Times New Roman" w:cs="Times New Roman"/>
          <w:sz w:val="24"/>
          <w:szCs w:val="24"/>
        </w:rPr>
        <w:t>Plus</w:t>
      </w:r>
      <w:proofErr w:type="gramEnd"/>
      <w:r w:rsidR="00EB5615" w:rsidRPr="00454F95">
        <w:rPr>
          <w:rFonts w:ascii="Times New Roman" w:hAnsi="Times New Roman" w:cs="Times New Roman"/>
          <w:sz w:val="24"/>
          <w:szCs w:val="24"/>
        </w:rPr>
        <w:t xml:space="preserve"> Extensive Services and Rehabilitation). This caused a shift in the hierarchy of nursing case-mix weights among the various RUG-IV groups. Since SNFs are permitted to “index maximize” when determining a resident’s RUG classification (i.e., they are permitted to choose the RUG with the highest per diem payment, of those for which the resident qualifies), it is possible that the aforementioned case-mix distribution shifts are due to residents that had previously been classified into therapy groups</w:t>
      </w:r>
      <w:r w:rsidR="003324B2" w:rsidRPr="00454F95">
        <w:rPr>
          <w:rFonts w:ascii="Times New Roman" w:hAnsi="Times New Roman" w:cs="Times New Roman"/>
          <w:sz w:val="24"/>
          <w:szCs w:val="24"/>
        </w:rPr>
        <w:t xml:space="preserve"> </w:t>
      </w:r>
      <w:r w:rsidR="00894C07">
        <w:rPr>
          <w:rFonts w:ascii="Times New Roman" w:hAnsi="Times New Roman" w:cs="Times New Roman"/>
          <w:sz w:val="24"/>
          <w:szCs w:val="24"/>
        </w:rPr>
        <w:t>but now index maximize</w:t>
      </w:r>
      <w:r w:rsidR="003324B2" w:rsidRPr="00454F95">
        <w:rPr>
          <w:rFonts w:ascii="Times New Roman" w:hAnsi="Times New Roman" w:cs="Times New Roman"/>
          <w:sz w:val="24"/>
          <w:szCs w:val="24"/>
        </w:rPr>
        <w:t xml:space="preserve"> into nursing groups instead</w:t>
      </w:r>
      <w:r w:rsidR="00EB5615" w:rsidRPr="00454F95">
        <w:rPr>
          <w:rFonts w:ascii="Times New Roman" w:hAnsi="Times New Roman" w:cs="Times New Roman"/>
          <w:sz w:val="24"/>
          <w:szCs w:val="24"/>
        </w:rPr>
        <w:t xml:space="preserve">. </w:t>
      </w:r>
    </w:p>
    <w:p w:rsidR="00454F95" w:rsidRDefault="00454F95" w:rsidP="00454F95">
      <w:pPr>
        <w:pStyle w:val="ListParagraph"/>
        <w:spacing w:line="240" w:lineRule="auto"/>
        <w:rPr>
          <w:rFonts w:ascii="Times New Roman" w:hAnsi="Times New Roman" w:cs="Times New Roman"/>
          <w:b/>
          <w:sz w:val="24"/>
          <w:szCs w:val="24"/>
        </w:rPr>
      </w:pPr>
    </w:p>
    <w:p w:rsidR="00ED6E9E" w:rsidRPr="00454F95" w:rsidRDefault="00ED6E9E" w:rsidP="00454F95">
      <w:pPr>
        <w:pStyle w:val="ListParagraph"/>
        <w:numPr>
          <w:ilvl w:val="0"/>
          <w:numId w:val="5"/>
        </w:numPr>
        <w:spacing w:line="240" w:lineRule="auto"/>
        <w:rPr>
          <w:rFonts w:ascii="Times New Roman" w:hAnsi="Times New Roman" w:cs="Times New Roman"/>
          <w:b/>
          <w:sz w:val="24"/>
          <w:szCs w:val="24"/>
        </w:rPr>
      </w:pPr>
      <w:r w:rsidRPr="00454F95">
        <w:rPr>
          <w:rFonts w:ascii="Times New Roman" w:hAnsi="Times New Roman" w:cs="Times New Roman"/>
          <w:b/>
          <w:sz w:val="24"/>
          <w:szCs w:val="24"/>
        </w:rPr>
        <w:t>The percentage of residents in Ultra-High Rehabilita</w:t>
      </w:r>
      <w:r w:rsidR="00527115">
        <w:rPr>
          <w:rFonts w:ascii="Times New Roman" w:hAnsi="Times New Roman" w:cs="Times New Roman"/>
          <w:b/>
          <w:sz w:val="24"/>
          <w:szCs w:val="24"/>
        </w:rPr>
        <w:t xml:space="preserve">tion </w:t>
      </w:r>
      <w:r w:rsidR="0053413E">
        <w:rPr>
          <w:rFonts w:ascii="Times New Roman" w:hAnsi="Times New Roman" w:cs="Times New Roman"/>
          <w:b/>
          <w:sz w:val="24"/>
          <w:szCs w:val="24"/>
        </w:rPr>
        <w:t xml:space="preserve">has increased during the first </w:t>
      </w:r>
      <w:r w:rsidR="007E2B56">
        <w:rPr>
          <w:rFonts w:ascii="Times New Roman" w:hAnsi="Times New Roman" w:cs="Times New Roman"/>
          <w:b/>
          <w:sz w:val="24"/>
          <w:szCs w:val="24"/>
        </w:rPr>
        <w:t xml:space="preserve">three quarters </w:t>
      </w:r>
      <w:r w:rsidR="0053413E">
        <w:rPr>
          <w:rFonts w:ascii="Times New Roman" w:hAnsi="Times New Roman" w:cs="Times New Roman"/>
          <w:b/>
          <w:sz w:val="24"/>
          <w:szCs w:val="24"/>
        </w:rPr>
        <w:t>of FY 2012</w:t>
      </w:r>
      <w:r w:rsidR="00527115">
        <w:rPr>
          <w:rFonts w:ascii="Times New Roman" w:hAnsi="Times New Roman" w:cs="Times New Roman"/>
          <w:b/>
          <w:sz w:val="24"/>
          <w:szCs w:val="24"/>
        </w:rPr>
        <w:t>.</w:t>
      </w:r>
    </w:p>
    <w:p w:rsidR="00067C27" w:rsidRPr="00067C27" w:rsidRDefault="00067C27" w:rsidP="00067C27">
      <w:pPr>
        <w:spacing w:line="240" w:lineRule="auto"/>
        <w:ind w:firstLine="360"/>
        <w:rPr>
          <w:rFonts w:ascii="Times New Roman" w:hAnsi="Times New Roman"/>
          <w:sz w:val="24"/>
          <w:szCs w:val="24"/>
        </w:rPr>
      </w:pPr>
      <w:r w:rsidRPr="00067C27">
        <w:rPr>
          <w:rFonts w:ascii="Times New Roman" w:hAnsi="Times New Roman"/>
          <w:sz w:val="24"/>
          <w:szCs w:val="24"/>
        </w:rPr>
        <w:t xml:space="preserve">While the percentage of resident days that classify into therapy groups has </w:t>
      </w:r>
      <w:r w:rsidR="000D2614">
        <w:rPr>
          <w:rFonts w:ascii="Times New Roman" w:hAnsi="Times New Roman"/>
          <w:sz w:val="24"/>
          <w:szCs w:val="24"/>
        </w:rPr>
        <w:t>not changed significantly</w:t>
      </w:r>
      <w:r w:rsidRPr="00067C27">
        <w:rPr>
          <w:rFonts w:ascii="Times New Roman" w:hAnsi="Times New Roman"/>
          <w:sz w:val="24"/>
          <w:szCs w:val="24"/>
        </w:rPr>
        <w:t xml:space="preserve"> during the first </w:t>
      </w:r>
      <w:r w:rsidR="007E2B56">
        <w:rPr>
          <w:rFonts w:ascii="Times New Roman" w:hAnsi="Times New Roman"/>
          <w:sz w:val="24"/>
          <w:szCs w:val="24"/>
        </w:rPr>
        <w:t>three quarters</w:t>
      </w:r>
      <w:r w:rsidR="007E2B56" w:rsidRPr="00067C27">
        <w:rPr>
          <w:rFonts w:ascii="Times New Roman" w:hAnsi="Times New Roman"/>
          <w:sz w:val="24"/>
          <w:szCs w:val="24"/>
        </w:rPr>
        <w:t xml:space="preserve"> </w:t>
      </w:r>
      <w:r w:rsidRPr="00067C27">
        <w:rPr>
          <w:rFonts w:ascii="Times New Roman" w:hAnsi="Times New Roman"/>
          <w:sz w:val="24"/>
          <w:szCs w:val="24"/>
        </w:rPr>
        <w:t>of FY 2012, the data show an increase in the percentage of service days at the highest th</w:t>
      </w:r>
      <w:r>
        <w:rPr>
          <w:rFonts w:ascii="Times New Roman" w:hAnsi="Times New Roman"/>
          <w:sz w:val="24"/>
          <w:szCs w:val="24"/>
        </w:rPr>
        <w:t>erapy level</w:t>
      </w:r>
      <w:r w:rsidR="00FE31D2">
        <w:rPr>
          <w:rFonts w:ascii="Times New Roman" w:hAnsi="Times New Roman"/>
          <w:sz w:val="24"/>
          <w:szCs w:val="24"/>
        </w:rPr>
        <w:t xml:space="preserve"> (Ultra High Rehabilitation)</w:t>
      </w:r>
      <w:r>
        <w:rPr>
          <w:rFonts w:ascii="Times New Roman" w:hAnsi="Times New Roman"/>
          <w:sz w:val="24"/>
          <w:szCs w:val="24"/>
        </w:rPr>
        <w:t xml:space="preserve"> in the first </w:t>
      </w:r>
      <w:r w:rsidR="008657F5">
        <w:rPr>
          <w:rFonts w:ascii="Times New Roman" w:hAnsi="Times New Roman"/>
          <w:sz w:val="24"/>
          <w:szCs w:val="24"/>
        </w:rPr>
        <w:t>three quarters</w:t>
      </w:r>
      <w:r w:rsidRPr="00067C27">
        <w:rPr>
          <w:rFonts w:ascii="Times New Roman" w:hAnsi="Times New Roman"/>
          <w:sz w:val="24"/>
          <w:szCs w:val="24"/>
        </w:rPr>
        <w:t xml:space="preserve"> of FY 2012.  This is illustrated in Table </w:t>
      </w:r>
      <w:r w:rsidR="00FE31D2">
        <w:rPr>
          <w:rFonts w:ascii="Times New Roman" w:hAnsi="Times New Roman"/>
          <w:sz w:val="24"/>
          <w:szCs w:val="24"/>
        </w:rPr>
        <w:t>2</w:t>
      </w:r>
      <w:r w:rsidRPr="00067C27">
        <w:rPr>
          <w:rFonts w:ascii="Times New Roman" w:hAnsi="Times New Roman"/>
          <w:sz w:val="24"/>
          <w:szCs w:val="24"/>
        </w:rPr>
        <w:t xml:space="preserve"> below.</w:t>
      </w:r>
    </w:p>
    <w:p w:rsidR="00DF4AF6" w:rsidRPr="002C44F6" w:rsidRDefault="00DF4AF6" w:rsidP="00DF4AF6">
      <w:pPr>
        <w:spacing w:line="240" w:lineRule="auto"/>
        <w:jc w:val="center"/>
        <w:rPr>
          <w:rFonts w:ascii="Times New Roman" w:hAnsi="Times New Roman" w:cs="Times New Roman"/>
          <w:sz w:val="24"/>
          <w:szCs w:val="24"/>
          <w:u w:val="single"/>
        </w:rPr>
      </w:pPr>
      <w:r w:rsidRPr="002C44F6">
        <w:rPr>
          <w:rFonts w:ascii="Times New Roman" w:hAnsi="Times New Roman" w:cs="Times New Roman"/>
          <w:sz w:val="24"/>
          <w:szCs w:val="24"/>
          <w:u w:val="single"/>
        </w:rPr>
        <w:t>Table 2: SNF Case-Mix Distribution for Therapy RUG-IV Groups, by Minor RUG-IV Therapy Categories</w:t>
      </w:r>
    </w:p>
    <w:tbl>
      <w:tblPr>
        <w:tblStyle w:val="TableGrid"/>
        <w:tblW w:w="0" w:type="auto"/>
        <w:jc w:val="center"/>
        <w:tblLook w:val="04A0"/>
      </w:tblPr>
      <w:tblGrid>
        <w:gridCol w:w="7038"/>
        <w:gridCol w:w="913"/>
        <w:gridCol w:w="1377"/>
      </w:tblGrid>
      <w:tr w:rsidR="00DF4AF6" w:rsidTr="008657F5">
        <w:trPr>
          <w:jc w:val="center"/>
        </w:trPr>
        <w:tc>
          <w:tcPr>
            <w:tcW w:w="7038" w:type="dxa"/>
            <w:tcBorders>
              <w:top w:val="nil"/>
              <w:left w:val="nil"/>
            </w:tcBorders>
          </w:tcPr>
          <w:p w:rsidR="00DF4AF6" w:rsidRDefault="00DF4AF6" w:rsidP="00DF4AF6">
            <w:pPr>
              <w:jc w:val="center"/>
              <w:rPr>
                <w:rFonts w:ascii="Times New Roman" w:hAnsi="Times New Roman" w:cs="Times New Roman"/>
                <w:sz w:val="24"/>
                <w:szCs w:val="24"/>
              </w:rPr>
            </w:pPr>
          </w:p>
        </w:tc>
        <w:tc>
          <w:tcPr>
            <w:tcW w:w="913" w:type="dxa"/>
          </w:tcPr>
          <w:p w:rsidR="00DF4AF6" w:rsidRPr="00DF4AF6" w:rsidRDefault="00DF4AF6" w:rsidP="00DF4AF6">
            <w:pPr>
              <w:jc w:val="center"/>
              <w:rPr>
                <w:rFonts w:ascii="Times New Roman" w:hAnsi="Times New Roman" w:cs="Times New Roman"/>
                <w:b/>
                <w:sz w:val="24"/>
                <w:szCs w:val="24"/>
              </w:rPr>
            </w:pPr>
            <w:r w:rsidRPr="00DF4AF6">
              <w:rPr>
                <w:rFonts w:ascii="Times New Roman" w:hAnsi="Times New Roman" w:cs="Times New Roman"/>
                <w:b/>
                <w:sz w:val="24"/>
                <w:szCs w:val="24"/>
              </w:rPr>
              <w:t>FY 2011</w:t>
            </w:r>
          </w:p>
        </w:tc>
        <w:tc>
          <w:tcPr>
            <w:tcW w:w="0" w:type="auto"/>
          </w:tcPr>
          <w:p w:rsidR="00886293" w:rsidRDefault="00886293" w:rsidP="00DF4AF6">
            <w:pPr>
              <w:jc w:val="center"/>
              <w:rPr>
                <w:rFonts w:ascii="Times New Roman" w:hAnsi="Times New Roman" w:cs="Times New Roman"/>
                <w:b/>
                <w:sz w:val="24"/>
                <w:szCs w:val="24"/>
              </w:rPr>
            </w:pPr>
            <w:r>
              <w:rPr>
                <w:rFonts w:ascii="Times New Roman" w:hAnsi="Times New Roman" w:cs="Times New Roman"/>
                <w:b/>
                <w:sz w:val="24"/>
                <w:szCs w:val="24"/>
              </w:rPr>
              <w:t>Q1</w:t>
            </w:r>
            <w:r w:rsidR="008657F5">
              <w:rPr>
                <w:rFonts w:ascii="Times New Roman" w:hAnsi="Times New Roman" w:cs="Times New Roman"/>
                <w:b/>
                <w:sz w:val="24"/>
                <w:szCs w:val="24"/>
              </w:rPr>
              <w:t>,</w:t>
            </w:r>
            <w:r w:rsidR="00250DAD">
              <w:rPr>
                <w:rFonts w:ascii="Times New Roman" w:hAnsi="Times New Roman" w:cs="Times New Roman"/>
                <w:b/>
                <w:sz w:val="24"/>
                <w:szCs w:val="24"/>
              </w:rPr>
              <w:t xml:space="preserve"> </w:t>
            </w:r>
            <w:r>
              <w:rPr>
                <w:rFonts w:ascii="Times New Roman" w:hAnsi="Times New Roman" w:cs="Times New Roman"/>
                <w:b/>
                <w:sz w:val="24"/>
                <w:szCs w:val="24"/>
              </w:rPr>
              <w:t>Q2</w:t>
            </w:r>
            <w:r w:rsidR="008657F5">
              <w:rPr>
                <w:rFonts w:ascii="Times New Roman" w:hAnsi="Times New Roman" w:cs="Times New Roman"/>
                <w:b/>
                <w:sz w:val="24"/>
                <w:szCs w:val="24"/>
              </w:rPr>
              <w:t>, Q3</w:t>
            </w:r>
          </w:p>
          <w:p w:rsidR="00DF4AF6" w:rsidRPr="00DF4AF6" w:rsidRDefault="00DF4AF6" w:rsidP="00DF4AF6">
            <w:pPr>
              <w:jc w:val="center"/>
              <w:rPr>
                <w:rFonts w:ascii="Times New Roman" w:hAnsi="Times New Roman" w:cs="Times New Roman"/>
                <w:b/>
                <w:sz w:val="24"/>
                <w:szCs w:val="24"/>
              </w:rPr>
            </w:pPr>
            <w:r w:rsidRPr="00DF4AF6">
              <w:rPr>
                <w:rFonts w:ascii="Times New Roman" w:hAnsi="Times New Roman" w:cs="Times New Roman"/>
                <w:b/>
                <w:sz w:val="24"/>
                <w:szCs w:val="24"/>
              </w:rPr>
              <w:t>FY 2012</w:t>
            </w:r>
          </w:p>
        </w:tc>
      </w:tr>
      <w:tr w:rsidR="00527115" w:rsidTr="008657F5">
        <w:trPr>
          <w:jc w:val="center"/>
        </w:trPr>
        <w:tc>
          <w:tcPr>
            <w:tcW w:w="7038" w:type="dxa"/>
          </w:tcPr>
          <w:p w:rsidR="00527115" w:rsidRPr="00DF4AF6" w:rsidRDefault="00527115" w:rsidP="00DF4AF6">
            <w:pPr>
              <w:rPr>
                <w:rFonts w:ascii="Times New Roman" w:hAnsi="Times New Roman" w:cs="Times New Roman"/>
                <w:b/>
                <w:sz w:val="24"/>
                <w:szCs w:val="24"/>
              </w:rPr>
            </w:pPr>
            <w:r w:rsidRPr="00DF4AF6">
              <w:rPr>
                <w:rFonts w:ascii="Times New Roman" w:hAnsi="Times New Roman" w:cs="Times New Roman"/>
                <w:b/>
                <w:sz w:val="24"/>
                <w:szCs w:val="24"/>
              </w:rPr>
              <w:t>Ultra-High Rehabilitation (≥ 720 minutes of therapy per week)</w:t>
            </w:r>
          </w:p>
        </w:tc>
        <w:tc>
          <w:tcPr>
            <w:tcW w:w="913" w:type="dxa"/>
          </w:tcPr>
          <w:p w:rsidR="00527115" w:rsidRDefault="008916B6" w:rsidP="00F60C54">
            <w:pPr>
              <w:jc w:val="center"/>
              <w:rPr>
                <w:rFonts w:ascii="Times New Roman" w:hAnsi="Times New Roman" w:cs="Times New Roman"/>
                <w:sz w:val="24"/>
                <w:szCs w:val="24"/>
              </w:rPr>
            </w:pPr>
            <w:r>
              <w:rPr>
                <w:rFonts w:ascii="Times New Roman" w:hAnsi="Times New Roman" w:cs="Times New Roman"/>
                <w:sz w:val="24"/>
                <w:szCs w:val="24"/>
              </w:rPr>
              <w:t>44.</w:t>
            </w:r>
            <w:r w:rsidR="00F60C54">
              <w:rPr>
                <w:rFonts w:ascii="Times New Roman" w:hAnsi="Times New Roman" w:cs="Times New Roman"/>
                <w:sz w:val="24"/>
                <w:szCs w:val="24"/>
              </w:rPr>
              <w:t>8</w:t>
            </w:r>
            <w:r w:rsidR="00527115">
              <w:rPr>
                <w:rFonts w:ascii="Times New Roman" w:hAnsi="Times New Roman" w:cs="Times New Roman"/>
                <w:sz w:val="24"/>
                <w:szCs w:val="24"/>
              </w:rPr>
              <w:t>%</w:t>
            </w:r>
          </w:p>
        </w:tc>
        <w:tc>
          <w:tcPr>
            <w:tcW w:w="0" w:type="auto"/>
            <w:vAlign w:val="bottom"/>
          </w:tcPr>
          <w:p w:rsidR="00527115" w:rsidRPr="00527115" w:rsidRDefault="00527115" w:rsidP="000017BE">
            <w:pPr>
              <w:jc w:val="right"/>
              <w:rPr>
                <w:rFonts w:ascii="Times New Roman" w:hAnsi="Times New Roman" w:cs="Times New Roman"/>
                <w:sz w:val="24"/>
                <w:szCs w:val="24"/>
              </w:rPr>
            </w:pPr>
            <w:r w:rsidRPr="00527115">
              <w:rPr>
                <w:rFonts w:ascii="Times New Roman" w:hAnsi="Times New Roman" w:cs="Times New Roman"/>
                <w:sz w:val="24"/>
                <w:szCs w:val="24"/>
              </w:rPr>
              <w:t>4</w:t>
            </w:r>
            <w:r w:rsidR="00DC4E6A">
              <w:rPr>
                <w:rFonts w:ascii="Times New Roman" w:hAnsi="Times New Roman" w:cs="Times New Roman"/>
                <w:sz w:val="24"/>
                <w:szCs w:val="24"/>
              </w:rPr>
              <w:t>6</w:t>
            </w:r>
            <w:r w:rsidR="000017BE">
              <w:rPr>
                <w:rFonts w:ascii="Times New Roman" w:hAnsi="Times New Roman" w:cs="Times New Roman"/>
                <w:sz w:val="24"/>
                <w:szCs w:val="24"/>
              </w:rPr>
              <w:t>.</w:t>
            </w:r>
            <w:r w:rsidR="00DC4E6A">
              <w:rPr>
                <w:rFonts w:ascii="Times New Roman" w:hAnsi="Times New Roman" w:cs="Times New Roman"/>
                <w:sz w:val="24"/>
                <w:szCs w:val="24"/>
              </w:rPr>
              <w:t>9</w:t>
            </w:r>
            <w:r w:rsidRPr="00527115">
              <w:rPr>
                <w:rFonts w:ascii="Times New Roman" w:hAnsi="Times New Roman" w:cs="Times New Roman"/>
                <w:sz w:val="24"/>
                <w:szCs w:val="24"/>
              </w:rPr>
              <w:t>%</w:t>
            </w:r>
          </w:p>
        </w:tc>
      </w:tr>
      <w:tr w:rsidR="00527115" w:rsidTr="008657F5">
        <w:trPr>
          <w:jc w:val="center"/>
        </w:trPr>
        <w:tc>
          <w:tcPr>
            <w:tcW w:w="7038" w:type="dxa"/>
          </w:tcPr>
          <w:p w:rsidR="00527115" w:rsidRPr="00DF4AF6" w:rsidRDefault="00527115" w:rsidP="00DF4AF6">
            <w:pPr>
              <w:rPr>
                <w:rFonts w:ascii="Times New Roman" w:hAnsi="Times New Roman" w:cs="Times New Roman"/>
                <w:b/>
                <w:sz w:val="24"/>
                <w:szCs w:val="24"/>
              </w:rPr>
            </w:pPr>
            <w:r w:rsidRPr="00DF4AF6">
              <w:rPr>
                <w:rFonts w:ascii="Times New Roman" w:hAnsi="Times New Roman" w:cs="Times New Roman"/>
                <w:b/>
                <w:sz w:val="24"/>
                <w:szCs w:val="24"/>
              </w:rPr>
              <w:t>Very-High Rehabilitation (500 – 719 minutes of therapy per week)</w:t>
            </w:r>
          </w:p>
        </w:tc>
        <w:tc>
          <w:tcPr>
            <w:tcW w:w="913" w:type="dxa"/>
          </w:tcPr>
          <w:p w:rsidR="00527115" w:rsidRDefault="008916B6" w:rsidP="00DF4AF6">
            <w:pPr>
              <w:jc w:val="center"/>
              <w:rPr>
                <w:rFonts w:ascii="Times New Roman" w:hAnsi="Times New Roman" w:cs="Times New Roman"/>
                <w:sz w:val="24"/>
                <w:szCs w:val="24"/>
              </w:rPr>
            </w:pPr>
            <w:r>
              <w:rPr>
                <w:rFonts w:ascii="Times New Roman" w:hAnsi="Times New Roman" w:cs="Times New Roman"/>
                <w:sz w:val="24"/>
                <w:szCs w:val="24"/>
              </w:rPr>
              <w:t>26.9</w:t>
            </w:r>
            <w:r w:rsidR="00527115">
              <w:rPr>
                <w:rFonts w:ascii="Times New Roman" w:hAnsi="Times New Roman" w:cs="Times New Roman"/>
                <w:sz w:val="24"/>
                <w:szCs w:val="24"/>
              </w:rPr>
              <w:t>%</w:t>
            </w:r>
          </w:p>
        </w:tc>
        <w:tc>
          <w:tcPr>
            <w:tcW w:w="0" w:type="auto"/>
            <w:vAlign w:val="bottom"/>
          </w:tcPr>
          <w:p w:rsidR="00527115" w:rsidRPr="00527115" w:rsidRDefault="00527115" w:rsidP="00DC4E6A">
            <w:pPr>
              <w:jc w:val="right"/>
              <w:rPr>
                <w:rFonts w:ascii="Times New Roman" w:hAnsi="Times New Roman" w:cs="Times New Roman"/>
                <w:sz w:val="24"/>
                <w:szCs w:val="24"/>
              </w:rPr>
            </w:pPr>
            <w:r w:rsidRPr="00527115">
              <w:rPr>
                <w:rFonts w:ascii="Times New Roman" w:hAnsi="Times New Roman" w:cs="Times New Roman"/>
                <w:sz w:val="24"/>
                <w:szCs w:val="24"/>
              </w:rPr>
              <w:t>26.</w:t>
            </w:r>
            <w:r w:rsidR="00DC4E6A">
              <w:rPr>
                <w:rFonts w:ascii="Times New Roman" w:hAnsi="Times New Roman" w:cs="Times New Roman"/>
                <w:sz w:val="24"/>
                <w:szCs w:val="24"/>
              </w:rPr>
              <w:t>2</w:t>
            </w:r>
            <w:r w:rsidRPr="00527115">
              <w:rPr>
                <w:rFonts w:ascii="Times New Roman" w:hAnsi="Times New Roman" w:cs="Times New Roman"/>
                <w:sz w:val="24"/>
                <w:szCs w:val="24"/>
              </w:rPr>
              <w:t>%</w:t>
            </w:r>
          </w:p>
        </w:tc>
      </w:tr>
      <w:tr w:rsidR="00527115" w:rsidTr="008657F5">
        <w:trPr>
          <w:jc w:val="center"/>
        </w:trPr>
        <w:tc>
          <w:tcPr>
            <w:tcW w:w="7038" w:type="dxa"/>
          </w:tcPr>
          <w:p w:rsidR="00527115" w:rsidRPr="00DF4AF6" w:rsidRDefault="00527115" w:rsidP="00DF4AF6">
            <w:pPr>
              <w:rPr>
                <w:rFonts w:ascii="Times New Roman" w:hAnsi="Times New Roman" w:cs="Times New Roman"/>
                <w:b/>
                <w:sz w:val="24"/>
                <w:szCs w:val="24"/>
              </w:rPr>
            </w:pPr>
            <w:r w:rsidRPr="00DF4AF6">
              <w:rPr>
                <w:rFonts w:ascii="Times New Roman" w:hAnsi="Times New Roman" w:cs="Times New Roman"/>
                <w:b/>
                <w:sz w:val="24"/>
                <w:szCs w:val="24"/>
              </w:rPr>
              <w:t>High Rehabilitation (325 – 499 minutes of therapy per week)</w:t>
            </w:r>
          </w:p>
        </w:tc>
        <w:tc>
          <w:tcPr>
            <w:tcW w:w="913" w:type="dxa"/>
          </w:tcPr>
          <w:p w:rsidR="00527115" w:rsidRDefault="008916B6" w:rsidP="00DF4AF6">
            <w:pPr>
              <w:jc w:val="center"/>
              <w:rPr>
                <w:rFonts w:ascii="Times New Roman" w:hAnsi="Times New Roman" w:cs="Times New Roman"/>
                <w:sz w:val="24"/>
                <w:szCs w:val="24"/>
              </w:rPr>
            </w:pPr>
            <w:r>
              <w:rPr>
                <w:rFonts w:ascii="Times New Roman" w:hAnsi="Times New Roman" w:cs="Times New Roman"/>
                <w:sz w:val="24"/>
                <w:szCs w:val="24"/>
              </w:rPr>
              <w:t>10.8</w:t>
            </w:r>
            <w:r w:rsidR="00527115">
              <w:rPr>
                <w:rFonts w:ascii="Times New Roman" w:hAnsi="Times New Roman" w:cs="Times New Roman"/>
                <w:sz w:val="24"/>
                <w:szCs w:val="24"/>
              </w:rPr>
              <w:t>%</w:t>
            </w:r>
          </w:p>
        </w:tc>
        <w:tc>
          <w:tcPr>
            <w:tcW w:w="0" w:type="auto"/>
            <w:vAlign w:val="bottom"/>
          </w:tcPr>
          <w:p w:rsidR="00527115" w:rsidRPr="00527115" w:rsidRDefault="00527115" w:rsidP="008657F5">
            <w:pPr>
              <w:jc w:val="right"/>
              <w:rPr>
                <w:rFonts w:ascii="Times New Roman" w:hAnsi="Times New Roman" w:cs="Times New Roman"/>
                <w:sz w:val="24"/>
                <w:szCs w:val="24"/>
              </w:rPr>
            </w:pPr>
            <w:r w:rsidRPr="00527115">
              <w:rPr>
                <w:rFonts w:ascii="Times New Roman" w:hAnsi="Times New Roman" w:cs="Times New Roman"/>
                <w:sz w:val="24"/>
                <w:szCs w:val="24"/>
              </w:rPr>
              <w:t>10.</w:t>
            </w:r>
            <w:r w:rsidR="008657F5">
              <w:rPr>
                <w:rFonts w:ascii="Times New Roman" w:hAnsi="Times New Roman" w:cs="Times New Roman"/>
                <w:sz w:val="24"/>
                <w:szCs w:val="24"/>
              </w:rPr>
              <w:t>5</w:t>
            </w:r>
            <w:r w:rsidRPr="00527115">
              <w:rPr>
                <w:rFonts w:ascii="Times New Roman" w:hAnsi="Times New Roman" w:cs="Times New Roman"/>
                <w:sz w:val="24"/>
                <w:szCs w:val="24"/>
              </w:rPr>
              <w:t>%</w:t>
            </w:r>
          </w:p>
        </w:tc>
      </w:tr>
      <w:tr w:rsidR="00527115" w:rsidTr="008657F5">
        <w:trPr>
          <w:jc w:val="center"/>
        </w:trPr>
        <w:tc>
          <w:tcPr>
            <w:tcW w:w="7038" w:type="dxa"/>
          </w:tcPr>
          <w:p w:rsidR="00527115" w:rsidRPr="00DF4AF6" w:rsidRDefault="00527115" w:rsidP="00DF4AF6">
            <w:pPr>
              <w:rPr>
                <w:rFonts w:ascii="Times New Roman" w:hAnsi="Times New Roman" w:cs="Times New Roman"/>
                <w:b/>
                <w:sz w:val="24"/>
                <w:szCs w:val="24"/>
              </w:rPr>
            </w:pPr>
            <w:r w:rsidRPr="00DF4AF6">
              <w:rPr>
                <w:rFonts w:ascii="Times New Roman" w:hAnsi="Times New Roman" w:cs="Times New Roman"/>
                <w:b/>
                <w:sz w:val="24"/>
                <w:szCs w:val="24"/>
              </w:rPr>
              <w:t>Medium Rehabilitation (150 – 324 minutes of therapy per week)</w:t>
            </w:r>
          </w:p>
        </w:tc>
        <w:tc>
          <w:tcPr>
            <w:tcW w:w="913" w:type="dxa"/>
          </w:tcPr>
          <w:p w:rsidR="00527115" w:rsidRDefault="008916B6" w:rsidP="00DF4AF6">
            <w:pPr>
              <w:jc w:val="center"/>
              <w:rPr>
                <w:rFonts w:ascii="Times New Roman" w:hAnsi="Times New Roman" w:cs="Times New Roman"/>
                <w:sz w:val="24"/>
                <w:szCs w:val="24"/>
              </w:rPr>
            </w:pPr>
            <w:r>
              <w:rPr>
                <w:rFonts w:ascii="Times New Roman" w:hAnsi="Times New Roman" w:cs="Times New Roman"/>
                <w:sz w:val="24"/>
                <w:szCs w:val="24"/>
              </w:rPr>
              <w:t>7.6</w:t>
            </w:r>
            <w:r w:rsidR="00527115">
              <w:rPr>
                <w:rFonts w:ascii="Times New Roman" w:hAnsi="Times New Roman" w:cs="Times New Roman"/>
                <w:sz w:val="24"/>
                <w:szCs w:val="24"/>
              </w:rPr>
              <w:t>%</w:t>
            </w:r>
          </w:p>
        </w:tc>
        <w:tc>
          <w:tcPr>
            <w:tcW w:w="0" w:type="auto"/>
            <w:vAlign w:val="bottom"/>
          </w:tcPr>
          <w:p w:rsidR="00527115" w:rsidRPr="00527115" w:rsidRDefault="00527115" w:rsidP="008657F5">
            <w:pPr>
              <w:jc w:val="right"/>
              <w:rPr>
                <w:rFonts w:ascii="Times New Roman" w:hAnsi="Times New Roman" w:cs="Times New Roman"/>
                <w:sz w:val="24"/>
                <w:szCs w:val="24"/>
              </w:rPr>
            </w:pPr>
            <w:r w:rsidRPr="00527115">
              <w:rPr>
                <w:rFonts w:ascii="Times New Roman" w:hAnsi="Times New Roman" w:cs="Times New Roman"/>
                <w:sz w:val="24"/>
                <w:szCs w:val="24"/>
              </w:rPr>
              <w:t>6.</w:t>
            </w:r>
            <w:r w:rsidR="008657F5">
              <w:rPr>
                <w:rFonts w:ascii="Times New Roman" w:hAnsi="Times New Roman" w:cs="Times New Roman"/>
                <w:sz w:val="24"/>
                <w:szCs w:val="24"/>
              </w:rPr>
              <w:t>5</w:t>
            </w:r>
            <w:r w:rsidRPr="00527115">
              <w:rPr>
                <w:rFonts w:ascii="Times New Roman" w:hAnsi="Times New Roman" w:cs="Times New Roman"/>
                <w:sz w:val="24"/>
                <w:szCs w:val="24"/>
              </w:rPr>
              <w:t>%</w:t>
            </w:r>
          </w:p>
        </w:tc>
      </w:tr>
      <w:tr w:rsidR="00527115" w:rsidTr="008657F5">
        <w:trPr>
          <w:jc w:val="center"/>
        </w:trPr>
        <w:tc>
          <w:tcPr>
            <w:tcW w:w="7038" w:type="dxa"/>
          </w:tcPr>
          <w:p w:rsidR="00527115" w:rsidRPr="00DF4AF6" w:rsidRDefault="00527115" w:rsidP="00DF4AF6">
            <w:pPr>
              <w:rPr>
                <w:rFonts w:ascii="Times New Roman" w:hAnsi="Times New Roman" w:cs="Times New Roman"/>
                <w:b/>
                <w:sz w:val="24"/>
                <w:szCs w:val="24"/>
              </w:rPr>
            </w:pPr>
            <w:r w:rsidRPr="00DF4AF6">
              <w:rPr>
                <w:rFonts w:ascii="Times New Roman" w:hAnsi="Times New Roman" w:cs="Times New Roman"/>
                <w:b/>
                <w:sz w:val="24"/>
                <w:szCs w:val="24"/>
              </w:rPr>
              <w:t>Low Rehabilitation (45 – 149 minutes of therapy per week)</w:t>
            </w:r>
          </w:p>
        </w:tc>
        <w:tc>
          <w:tcPr>
            <w:tcW w:w="913" w:type="dxa"/>
          </w:tcPr>
          <w:p w:rsidR="00527115" w:rsidRDefault="00527115" w:rsidP="00DF4AF6">
            <w:pPr>
              <w:jc w:val="center"/>
              <w:rPr>
                <w:rFonts w:ascii="Times New Roman" w:hAnsi="Times New Roman" w:cs="Times New Roman"/>
                <w:sz w:val="24"/>
                <w:szCs w:val="24"/>
              </w:rPr>
            </w:pPr>
            <w:r>
              <w:rPr>
                <w:rFonts w:ascii="Times New Roman" w:hAnsi="Times New Roman" w:cs="Times New Roman"/>
                <w:sz w:val="24"/>
                <w:szCs w:val="24"/>
              </w:rPr>
              <w:t>0.1%</w:t>
            </w:r>
          </w:p>
        </w:tc>
        <w:tc>
          <w:tcPr>
            <w:tcW w:w="0" w:type="auto"/>
            <w:vAlign w:val="bottom"/>
          </w:tcPr>
          <w:p w:rsidR="00527115" w:rsidRPr="00527115" w:rsidRDefault="00527115">
            <w:pPr>
              <w:jc w:val="right"/>
              <w:rPr>
                <w:rFonts w:ascii="Times New Roman" w:hAnsi="Times New Roman" w:cs="Times New Roman"/>
                <w:sz w:val="24"/>
                <w:szCs w:val="24"/>
              </w:rPr>
            </w:pPr>
            <w:r w:rsidRPr="00527115">
              <w:rPr>
                <w:rFonts w:ascii="Times New Roman" w:hAnsi="Times New Roman" w:cs="Times New Roman"/>
                <w:sz w:val="24"/>
                <w:szCs w:val="24"/>
              </w:rPr>
              <w:t>0.1%</w:t>
            </w:r>
          </w:p>
        </w:tc>
      </w:tr>
    </w:tbl>
    <w:p w:rsidR="002C44F6" w:rsidRDefault="002C44F6" w:rsidP="002C44F6">
      <w:pPr>
        <w:spacing w:line="240" w:lineRule="auto"/>
        <w:rPr>
          <w:rFonts w:ascii="Times New Roman" w:hAnsi="Times New Roman" w:cs="Times New Roman"/>
          <w:sz w:val="24"/>
          <w:szCs w:val="24"/>
        </w:rPr>
      </w:pPr>
    </w:p>
    <w:p w:rsidR="00067C27" w:rsidRDefault="00067C27" w:rsidP="00F4185E">
      <w:pPr>
        <w:spacing w:line="240" w:lineRule="auto"/>
        <w:rPr>
          <w:rFonts w:ascii="Times New Roman" w:hAnsi="Times New Roman" w:cs="Times New Roman"/>
          <w:sz w:val="24"/>
          <w:szCs w:val="24"/>
        </w:rPr>
      </w:pPr>
      <w:r w:rsidRPr="00067C27">
        <w:rPr>
          <w:rFonts w:ascii="Times New Roman" w:hAnsi="Times New Roman" w:cs="Times New Roman"/>
          <w:sz w:val="24"/>
          <w:szCs w:val="24"/>
        </w:rPr>
        <w:t xml:space="preserve">Although there have been decreases in the percentage of service days which classify into the High and Medium therapy RUG-IV categories, some of the decrease may be due to index maximization into the Special Care category. </w:t>
      </w:r>
    </w:p>
    <w:p w:rsidR="00F4185E" w:rsidRPr="00CC149D" w:rsidRDefault="00F4185E" w:rsidP="00F4185E">
      <w:pPr>
        <w:spacing w:line="240" w:lineRule="auto"/>
        <w:rPr>
          <w:rFonts w:ascii="Times New Roman" w:hAnsi="Times New Roman" w:cs="Times New Roman"/>
          <w:b/>
          <w:sz w:val="24"/>
          <w:szCs w:val="24"/>
          <w:u w:val="single"/>
        </w:rPr>
      </w:pPr>
      <w:r w:rsidRPr="00CC149D">
        <w:rPr>
          <w:rFonts w:ascii="Times New Roman" w:hAnsi="Times New Roman" w:cs="Times New Roman"/>
          <w:b/>
          <w:sz w:val="24"/>
          <w:szCs w:val="24"/>
          <w:u w:val="single"/>
        </w:rPr>
        <w:t>Group Therapy Allocation</w:t>
      </w:r>
      <w:r w:rsidR="00CC149D">
        <w:rPr>
          <w:rFonts w:ascii="Times New Roman" w:hAnsi="Times New Roman" w:cs="Times New Roman"/>
          <w:b/>
          <w:sz w:val="24"/>
          <w:szCs w:val="24"/>
          <w:u w:val="single"/>
        </w:rPr>
        <w:t>:</w:t>
      </w:r>
    </w:p>
    <w:p w:rsidR="00B747CC" w:rsidRDefault="00CF1A5D" w:rsidP="0053413E">
      <w:pPr>
        <w:spacing w:line="240" w:lineRule="auto"/>
        <w:ind w:firstLine="720"/>
        <w:rPr>
          <w:rFonts w:ascii="Times New Roman" w:hAnsi="Times New Roman" w:cs="Times New Roman"/>
          <w:sz w:val="24"/>
          <w:szCs w:val="24"/>
          <w:u w:val="single"/>
        </w:rPr>
      </w:pPr>
      <w:r>
        <w:rPr>
          <w:rFonts w:ascii="Times New Roman" w:hAnsi="Times New Roman" w:cs="Times New Roman"/>
          <w:sz w:val="24"/>
          <w:szCs w:val="24"/>
        </w:rPr>
        <w:t xml:space="preserve">To </w:t>
      </w:r>
      <w:r w:rsidR="003324B2">
        <w:rPr>
          <w:rFonts w:ascii="Times New Roman" w:hAnsi="Times New Roman" w:cs="Times New Roman"/>
          <w:sz w:val="24"/>
          <w:szCs w:val="24"/>
        </w:rPr>
        <w:t xml:space="preserve">more accurately </w:t>
      </w:r>
      <w:r w:rsidR="00A261A0">
        <w:rPr>
          <w:rFonts w:ascii="Times New Roman" w:hAnsi="Times New Roman" w:cs="Times New Roman"/>
          <w:sz w:val="24"/>
          <w:szCs w:val="24"/>
        </w:rPr>
        <w:t xml:space="preserve">account for resource cost </w:t>
      </w:r>
      <w:r>
        <w:rPr>
          <w:rFonts w:ascii="Times New Roman" w:hAnsi="Times New Roman" w:cs="Times New Roman"/>
          <w:sz w:val="24"/>
          <w:szCs w:val="24"/>
        </w:rPr>
        <w:t>and to equalize the payment incentive</w:t>
      </w:r>
      <w:r w:rsidR="00CE0CA6">
        <w:rPr>
          <w:rFonts w:ascii="Times New Roman" w:hAnsi="Times New Roman" w:cs="Times New Roman"/>
          <w:sz w:val="24"/>
          <w:szCs w:val="24"/>
        </w:rPr>
        <w:t>s</w:t>
      </w:r>
      <w:r>
        <w:rPr>
          <w:rFonts w:ascii="Times New Roman" w:hAnsi="Times New Roman" w:cs="Times New Roman"/>
          <w:sz w:val="24"/>
          <w:szCs w:val="24"/>
        </w:rPr>
        <w:t xml:space="preserve"> across therapy modes</w:t>
      </w:r>
      <w:r w:rsidR="00CE0CA6">
        <w:rPr>
          <w:rFonts w:ascii="Times New Roman" w:hAnsi="Times New Roman" w:cs="Times New Roman"/>
          <w:sz w:val="24"/>
          <w:szCs w:val="24"/>
        </w:rPr>
        <w:t xml:space="preserve">, we allocated group therapy time beginning in FY 2012. We anticipated that this policy would result in some change to the type of therapy </w:t>
      </w:r>
      <w:r w:rsidR="003B0688">
        <w:rPr>
          <w:rFonts w:ascii="Times New Roman" w:hAnsi="Times New Roman" w:cs="Times New Roman"/>
          <w:sz w:val="24"/>
          <w:szCs w:val="24"/>
        </w:rPr>
        <w:t>mode</w:t>
      </w:r>
      <w:r w:rsidR="00CE0CA6">
        <w:rPr>
          <w:rFonts w:ascii="Times New Roman" w:hAnsi="Times New Roman" w:cs="Times New Roman"/>
          <w:sz w:val="24"/>
          <w:szCs w:val="24"/>
        </w:rPr>
        <w:t xml:space="preserve"> used for SNF residents</w:t>
      </w:r>
      <w:r w:rsidR="00B747CC">
        <w:rPr>
          <w:rFonts w:ascii="Times New Roman" w:hAnsi="Times New Roman" w:cs="Times New Roman"/>
          <w:sz w:val="24"/>
          <w:szCs w:val="24"/>
        </w:rPr>
        <w:t xml:space="preserve">.  </w:t>
      </w:r>
      <w:r w:rsidR="00CE0CA6">
        <w:rPr>
          <w:rFonts w:ascii="Times New Roman" w:hAnsi="Times New Roman" w:cs="Times New Roman"/>
          <w:sz w:val="24"/>
          <w:szCs w:val="24"/>
        </w:rPr>
        <w:t xml:space="preserve">As noted </w:t>
      </w:r>
      <w:r w:rsidR="004C1C34">
        <w:rPr>
          <w:rFonts w:ascii="Times New Roman" w:hAnsi="Times New Roman" w:cs="Times New Roman"/>
          <w:sz w:val="24"/>
          <w:szCs w:val="24"/>
        </w:rPr>
        <w:t xml:space="preserve">in the section </w:t>
      </w:r>
      <w:r w:rsidR="00CE0CA6">
        <w:rPr>
          <w:rFonts w:ascii="Times New Roman" w:hAnsi="Times New Roman" w:cs="Times New Roman"/>
          <w:sz w:val="24"/>
          <w:szCs w:val="24"/>
        </w:rPr>
        <w:t xml:space="preserve">above, we have not observed any drop in patient case mix. </w:t>
      </w:r>
      <w:r w:rsidR="00752492">
        <w:rPr>
          <w:rFonts w:ascii="Times New Roman" w:hAnsi="Times New Roman" w:cs="Times New Roman"/>
          <w:sz w:val="24"/>
          <w:szCs w:val="24"/>
        </w:rPr>
        <w:t xml:space="preserve">However, </w:t>
      </w:r>
      <w:r w:rsidR="005C0D5A">
        <w:rPr>
          <w:rFonts w:ascii="Times New Roman" w:hAnsi="Times New Roman" w:cs="Times New Roman"/>
          <w:sz w:val="24"/>
          <w:szCs w:val="24"/>
        </w:rPr>
        <w:t>as illustrated below in Table 3</w:t>
      </w:r>
      <w:r w:rsidR="00752492">
        <w:rPr>
          <w:rFonts w:ascii="Times New Roman" w:hAnsi="Times New Roman" w:cs="Times New Roman"/>
          <w:sz w:val="24"/>
          <w:szCs w:val="24"/>
        </w:rPr>
        <w:t xml:space="preserve">, </w:t>
      </w:r>
      <w:r w:rsidR="00752492" w:rsidRPr="00454F95">
        <w:rPr>
          <w:rFonts w:ascii="Times New Roman" w:hAnsi="Times New Roman" w:cs="Times New Roman"/>
          <w:b/>
          <w:sz w:val="24"/>
          <w:szCs w:val="24"/>
        </w:rPr>
        <w:t>providers have significantly changed the mode of therapy since our STRIVE study</w:t>
      </w:r>
      <w:r w:rsidR="00CC149D">
        <w:rPr>
          <w:rFonts w:ascii="Times New Roman" w:hAnsi="Times New Roman" w:cs="Times New Roman"/>
          <w:b/>
          <w:sz w:val="24"/>
          <w:szCs w:val="24"/>
        </w:rPr>
        <w:t xml:space="preserve"> (2006-200</w:t>
      </w:r>
      <w:r w:rsidR="00436DA5">
        <w:rPr>
          <w:rFonts w:ascii="Times New Roman" w:hAnsi="Times New Roman" w:cs="Times New Roman"/>
          <w:b/>
          <w:sz w:val="24"/>
          <w:szCs w:val="24"/>
        </w:rPr>
        <w:t>7</w:t>
      </w:r>
      <w:r w:rsidR="00CC149D">
        <w:rPr>
          <w:rFonts w:ascii="Times New Roman" w:hAnsi="Times New Roman" w:cs="Times New Roman"/>
          <w:b/>
          <w:sz w:val="24"/>
          <w:szCs w:val="24"/>
        </w:rPr>
        <w:t>)</w:t>
      </w:r>
      <w:r w:rsidR="00CE0CA6" w:rsidRPr="00454F95">
        <w:rPr>
          <w:rFonts w:ascii="Times New Roman" w:hAnsi="Times New Roman" w:cs="Times New Roman"/>
          <w:b/>
          <w:sz w:val="24"/>
          <w:szCs w:val="24"/>
        </w:rPr>
        <w:t>.</w:t>
      </w:r>
      <w:r w:rsidR="00752492">
        <w:rPr>
          <w:rFonts w:ascii="Times New Roman" w:hAnsi="Times New Roman" w:cs="Times New Roman"/>
          <w:sz w:val="24"/>
          <w:szCs w:val="24"/>
        </w:rPr>
        <w:t xml:space="preserve">  </w:t>
      </w:r>
    </w:p>
    <w:p w:rsidR="00886293" w:rsidRDefault="00886293" w:rsidP="00CE0CA6">
      <w:pPr>
        <w:spacing w:line="240" w:lineRule="auto"/>
        <w:jc w:val="center"/>
        <w:rPr>
          <w:rFonts w:ascii="Times New Roman" w:hAnsi="Times New Roman" w:cs="Times New Roman"/>
          <w:sz w:val="24"/>
          <w:szCs w:val="24"/>
          <w:u w:val="single"/>
        </w:rPr>
      </w:pPr>
    </w:p>
    <w:p w:rsidR="00886293" w:rsidRDefault="00886293" w:rsidP="00CE0CA6">
      <w:pPr>
        <w:spacing w:line="240" w:lineRule="auto"/>
        <w:jc w:val="center"/>
        <w:rPr>
          <w:rFonts w:ascii="Times New Roman" w:hAnsi="Times New Roman" w:cs="Times New Roman"/>
          <w:sz w:val="24"/>
          <w:szCs w:val="24"/>
          <w:u w:val="single"/>
        </w:rPr>
      </w:pPr>
    </w:p>
    <w:p w:rsidR="00886293" w:rsidRDefault="00886293" w:rsidP="00CE0CA6">
      <w:pPr>
        <w:spacing w:line="240" w:lineRule="auto"/>
        <w:jc w:val="center"/>
        <w:rPr>
          <w:rFonts w:ascii="Times New Roman" w:hAnsi="Times New Roman" w:cs="Times New Roman"/>
          <w:sz w:val="24"/>
          <w:szCs w:val="24"/>
          <w:u w:val="single"/>
        </w:rPr>
      </w:pPr>
    </w:p>
    <w:p w:rsidR="00CE0CA6" w:rsidRPr="002C44F6" w:rsidRDefault="005C0D5A" w:rsidP="00CE0CA6">
      <w:pPr>
        <w:spacing w:line="240" w:lineRule="auto"/>
        <w:jc w:val="center"/>
        <w:rPr>
          <w:rFonts w:ascii="Times New Roman" w:hAnsi="Times New Roman" w:cs="Times New Roman"/>
          <w:sz w:val="24"/>
          <w:szCs w:val="24"/>
          <w:u w:val="single"/>
        </w:rPr>
      </w:pPr>
      <w:r w:rsidRPr="002C44F6">
        <w:rPr>
          <w:rFonts w:ascii="Times New Roman" w:hAnsi="Times New Roman" w:cs="Times New Roman"/>
          <w:sz w:val="24"/>
          <w:szCs w:val="24"/>
          <w:u w:val="single"/>
        </w:rPr>
        <w:t>Table 3</w:t>
      </w:r>
      <w:r w:rsidR="00CE0CA6" w:rsidRPr="002C44F6">
        <w:rPr>
          <w:rFonts w:ascii="Times New Roman" w:hAnsi="Times New Roman" w:cs="Times New Roman"/>
          <w:sz w:val="24"/>
          <w:szCs w:val="24"/>
          <w:u w:val="single"/>
        </w:rPr>
        <w:t xml:space="preserve">: Mode of Therapy Provision </w:t>
      </w:r>
    </w:p>
    <w:tbl>
      <w:tblPr>
        <w:tblStyle w:val="TableGrid"/>
        <w:tblW w:w="0" w:type="auto"/>
        <w:jc w:val="center"/>
        <w:tblLook w:val="04A0"/>
      </w:tblPr>
      <w:tblGrid>
        <w:gridCol w:w="1416"/>
        <w:gridCol w:w="1266"/>
        <w:gridCol w:w="1080"/>
        <w:gridCol w:w="1494"/>
      </w:tblGrid>
      <w:tr w:rsidR="00752492" w:rsidTr="002A72C7">
        <w:trPr>
          <w:jc w:val="center"/>
        </w:trPr>
        <w:tc>
          <w:tcPr>
            <w:tcW w:w="1416" w:type="dxa"/>
            <w:tcBorders>
              <w:top w:val="nil"/>
              <w:left w:val="nil"/>
            </w:tcBorders>
          </w:tcPr>
          <w:p w:rsidR="00752492" w:rsidRDefault="00752492" w:rsidP="00CE0CA6">
            <w:pPr>
              <w:jc w:val="center"/>
              <w:rPr>
                <w:rFonts w:ascii="Times New Roman" w:hAnsi="Times New Roman" w:cs="Times New Roman"/>
                <w:sz w:val="24"/>
                <w:szCs w:val="24"/>
              </w:rPr>
            </w:pPr>
          </w:p>
        </w:tc>
        <w:tc>
          <w:tcPr>
            <w:tcW w:w="1266" w:type="dxa"/>
          </w:tcPr>
          <w:p w:rsidR="00752492" w:rsidRPr="009B7B98" w:rsidRDefault="00752492" w:rsidP="00CE0CA6">
            <w:pPr>
              <w:jc w:val="center"/>
              <w:rPr>
                <w:rFonts w:ascii="Times New Roman" w:hAnsi="Times New Roman" w:cs="Times New Roman"/>
                <w:b/>
                <w:sz w:val="24"/>
                <w:szCs w:val="24"/>
              </w:rPr>
            </w:pPr>
            <w:r>
              <w:rPr>
                <w:rFonts w:ascii="Times New Roman" w:hAnsi="Times New Roman" w:cs="Times New Roman"/>
                <w:b/>
                <w:sz w:val="24"/>
                <w:szCs w:val="24"/>
              </w:rPr>
              <w:t>STRIVE</w:t>
            </w:r>
          </w:p>
        </w:tc>
        <w:tc>
          <w:tcPr>
            <w:tcW w:w="1080" w:type="dxa"/>
          </w:tcPr>
          <w:p w:rsidR="00752492" w:rsidRPr="009B7B98" w:rsidRDefault="00752492" w:rsidP="00CE0CA6">
            <w:pPr>
              <w:jc w:val="center"/>
              <w:rPr>
                <w:rFonts w:ascii="Times New Roman" w:hAnsi="Times New Roman" w:cs="Times New Roman"/>
                <w:b/>
                <w:sz w:val="24"/>
                <w:szCs w:val="24"/>
              </w:rPr>
            </w:pPr>
            <w:r w:rsidRPr="009B7B98">
              <w:rPr>
                <w:rFonts w:ascii="Times New Roman" w:hAnsi="Times New Roman" w:cs="Times New Roman"/>
                <w:b/>
                <w:sz w:val="24"/>
                <w:szCs w:val="24"/>
              </w:rPr>
              <w:t>FY 2011</w:t>
            </w:r>
          </w:p>
        </w:tc>
        <w:tc>
          <w:tcPr>
            <w:tcW w:w="1494" w:type="dxa"/>
          </w:tcPr>
          <w:p w:rsidR="00886293" w:rsidRDefault="00886293" w:rsidP="00CE0CA6">
            <w:pPr>
              <w:jc w:val="center"/>
              <w:rPr>
                <w:rFonts w:ascii="Times New Roman" w:hAnsi="Times New Roman" w:cs="Times New Roman"/>
                <w:b/>
                <w:sz w:val="24"/>
                <w:szCs w:val="24"/>
              </w:rPr>
            </w:pPr>
            <w:r>
              <w:rPr>
                <w:rFonts w:ascii="Times New Roman" w:hAnsi="Times New Roman" w:cs="Times New Roman"/>
                <w:b/>
                <w:sz w:val="24"/>
                <w:szCs w:val="24"/>
              </w:rPr>
              <w:t>Q1</w:t>
            </w:r>
            <w:r w:rsidR="002A72C7">
              <w:rPr>
                <w:rFonts w:ascii="Times New Roman" w:hAnsi="Times New Roman" w:cs="Times New Roman"/>
                <w:b/>
                <w:sz w:val="24"/>
                <w:szCs w:val="24"/>
              </w:rPr>
              <w:t>,</w:t>
            </w:r>
            <w:r w:rsidR="00250DAD">
              <w:rPr>
                <w:rFonts w:ascii="Times New Roman" w:hAnsi="Times New Roman" w:cs="Times New Roman"/>
                <w:b/>
                <w:sz w:val="24"/>
                <w:szCs w:val="24"/>
              </w:rPr>
              <w:t xml:space="preserve"> </w:t>
            </w:r>
            <w:r>
              <w:rPr>
                <w:rFonts w:ascii="Times New Roman" w:hAnsi="Times New Roman" w:cs="Times New Roman"/>
                <w:b/>
                <w:sz w:val="24"/>
                <w:szCs w:val="24"/>
              </w:rPr>
              <w:t>Q2</w:t>
            </w:r>
            <w:r w:rsidR="00250DAD">
              <w:rPr>
                <w:rFonts w:ascii="Times New Roman" w:hAnsi="Times New Roman" w:cs="Times New Roman"/>
                <w:b/>
                <w:sz w:val="24"/>
                <w:szCs w:val="24"/>
              </w:rPr>
              <w:t>,</w:t>
            </w:r>
            <w:r w:rsidR="002A72C7">
              <w:rPr>
                <w:rFonts w:ascii="Times New Roman" w:hAnsi="Times New Roman" w:cs="Times New Roman"/>
                <w:b/>
                <w:sz w:val="24"/>
                <w:szCs w:val="24"/>
              </w:rPr>
              <w:t xml:space="preserve"> Q3</w:t>
            </w:r>
          </w:p>
          <w:p w:rsidR="00752492" w:rsidRPr="009B7B98" w:rsidRDefault="00752492" w:rsidP="00CE0CA6">
            <w:pPr>
              <w:jc w:val="center"/>
              <w:rPr>
                <w:rFonts w:ascii="Times New Roman" w:hAnsi="Times New Roman" w:cs="Times New Roman"/>
                <w:b/>
                <w:sz w:val="24"/>
                <w:szCs w:val="24"/>
              </w:rPr>
            </w:pPr>
            <w:r w:rsidRPr="009B7B98">
              <w:rPr>
                <w:rFonts w:ascii="Times New Roman" w:hAnsi="Times New Roman" w:cs="Times New Roman"/>
                <w:b/>
                <w:sz w:val="24"/>
                <w:szCs w:val="24"/>
              </w:rPr>
              <w:t>FY 2012</w:t>
            </w:r>
          </w:p>
        </w:tc>
      </w:tr>
      <w:tr w:rsidR="00527115" w:rsidRPr="00527115" w:rsidTr="002A72C7">
        <w:trPr>
          <w:jc w:val="center"/>
        </w:trPr>
        <w:tc>
          <w:tcPr>
            <w:tcW w:w="1416" w:type="dxa"/>
          </w:tcPr>
          <w:p w:rsidR="00527115" w:rsidRPr="00527115" w:rsidRDefault="00527115" w:rsidP="001F7B79">
            <w:pPr>
              <w:rPr>
                <w:rFonts w:ascii="Times New Roman" w:hAnsi="Times New Roman" w:cs="Times New Roman"/>
                <w:b/>
                <w:sz w:val="24"/>
                <w:szCs w:val="24"/>
              </w:rPr>
            </w:pPr>
            <w:r w:rsidRPr="00527115">
              <w:rPr>
                <w:rFonts w:ascii="Times New Roman" w:hAnsi="Times New Roman" w:cs="Times New Roman"/>
                <w:b/>
                <w:sz w:val="24"/>
                <w:szCs w:val="24"/>
              </w:rPr>
              <w:t>Individual</w:t>
            </w:r>
          </w:p>
        </w:tc>
        <w:tc>
          <w:tcPr>
            <w:tcW w:w="1266" w:type="dxa"/>
          </w:tcPr>
          <w:p w:rsidR="00527115" w:rsidRPr="00527115" w:rsidRDefault="00527115" w:rsidP="00F4185E">
            <w:pPr>
              <w:rPr>
                <w:rFonts w:ascii="Times New Roman" w:hAnsi="Times New Roman" w:cs="Times New Roman"/>
                <w:sz w:val="24"/>
                <w:szCs w:val="24"/>
              </w:rPr>
            </w:pPr>
            <w:r w:rsidRPr="00527115">
              <w:rPr>
                <w:rFonts w:ascii="Times New Roman" w:hAnsi="Times New Roman" w:cs="Times New Roman"/>
                <w:sz w:val="24"/>
                <w:szCs w:val="24"/>
              </w:rPr>
              <w:t>74%</w:t>
            </w:r>
          </w:p>
        </w:tc>
        <w:tc>
          <w:tcPr>
            <w:tcW w:w="1080" w:type="dxa"/>
          </w:tcPr>
          <w:p w:rsidR="00527115" w:rsidRPr="00527115" w:rsidRDefault="008916B6" w:rsidP="00F4185E">
            <w:pPr>
              <w:rPr>
                <w:rFonts w:ascii="Times New Roman" w:hAnsi="Times New Roman" w:cs="Times New Roman"/>
                <w:sz w:val="24"/>
                <w:szCs w:val="24"/>
              </w:rPr>
            </w:pPr>
            <w:r>
              <w:rPr>
                <w:rFonts w:ascii="Times New Roman" w:hAnsi="Times New Roman" w:cs="Times New Roman"/>
                <w:sz w:val="24"/>
                <w:szCs w:val="24"/>
              </w:rPr>
              <w:t>91.8</w:t>
            </w:r>
            <w:r w:rsidR="00527115" w:rsidRPr="00527115">
              <w:rPr>
                <w:rFonts w:ascii="Times New Roman" w:hAnsi="Times New Roman" w:cs="Times New Roman"/>
                <w:sz w:val="24"/>
                <w:szCs w:val="24"/>
              </w:rPr>
              <w:t>%</w:t>
            </w:r>
          </w:p>
        </w:tc>
        <w:tc>
          <w:tcPr>
            <w:tcW w:w="1494" w:type="dxa"/>
            <w:vAlign w:val="bottom"/>
          </w:tcPr>
          <w:p w:rsidR="00527115" w:rsidRPr="00527115" w:rsidRDefault="00527115">
            <w:pPr>
              <w:jc w:val="right"/>
              <w:rPr>
                <w:rFonts w:ascii="Times New Roman" w:hAnsi="Times New Roman" w:cs="Times New Roman"/>
                <w:color w:val="000000"/>
                <w:sz w:val="24"/>
                <w:szCs w:val="24"/>
              </w:rPr>
            </w:pPr>
            <w:r w:rsidRPr="00527115">
              <w:rPr>
                <w:rFonts w:ascii="Times New Roman" w:hAnsi="Times New Roman" w:cs="Times New Roman"/>
                <w:color w:val="000000"/>
                <w:sz w:val="24"/>
                <w:szCs w:val="24"/>
              </w:rPr>
              <w:t>99.5%</w:t>
            </w:r>
          </w:p>
        </w:tc>
      </w:tr>
      <w:tr w:rsidR="00527115" w:rsidRPr="00527115" w:rsidTr="002A72C7">
        <w:trPr>
          <w:jc w:val="center"/>
        </w:trPr>
        <w:tc>
          <w:tcPr>
            <w:tcW w:w="1416" w:type="dxa"/>
          </w:tcPr>
          <w:p w:rsidR="00527115" w:rsidRPr="00527115" w:rsidRDefault="00527115" w:rsidP="001F7B79">
            <w:pPr>
              <w:rPr>
                <w:rFonts w:ascii="Times New Roman" w:hAnsi="Times New Roman" w:cs="Times New Roman"/>
                <w:b/>
                <w:sz w:val="24"/>
                <w:szCs w:val="24"/>
              </w:rPr>
            </w:pPr>
            <w:r w:rsidRPr="00527115">
              <w:rPr>
                <w:rFonts w:ascii="Times New Roman" w:hAnsi="Times New Roman" w:cs="Times New Roman"/>
                <w:b/>
                <w:sz w:val="24"/>
                <w:szCs w:val="24"/>
              </w:rPr>
              <w:t>Concurrent</w:t>
            </w:r>
          </w:p>
        </w:tc>
        <w:tc>
          <w:tcPr>
            <w:tcW w:w="1266" w:type="dxa"/>
          </w:tcPr>
          <w:p w:rsidR="00527115" w:rsidRPr="00527115" w:rsidRDefault="00527115" w:rsidP="00F4185E">
            <w:pPr>
              <w:rPr>
                <w:rFonts w:ascii="Times New Roman" w:hAnsi="Times New Roman" w:cs="Times New Roman"/>
                <w:sz w:val="24"/>
                <w:szCs w:val="24"/>
              </w:rPr>
            </w:pPr>
            <w:r w:rsidRPr="00527115">
              <w:rPr>
                <w:rFonts w:ascii="Times New Roman" w:hAnsi="Times New Roman" w:cs="Times New Roman"/>
                <w:sz w:val="24"/>
                <w:szCs w:val="24"/>
              </w:rPr>
              <w:t>25%</w:t>
            </w:r>
          </w:p>
        </w:tc>
        <w:tc>
          <w:tcPr>
            <w:tcW w:w="1080" w:type="dxa"/>
          </w:tcPr>
          <w:p w:rsidR="00527115" w:rsidRPr="00527115" w:rsidRDefault="008916B6" w:rsidP="00F4185E">
            <w:pPr>
              <w:rPr>
                <w:rFonts w:ascii="Times New Roman" w:hAnsi="Times New Roman" w:cs="Times New Roman"/>
                <w:sz w:val="24"/>
                <w:szCs w:val="24"/>
              </w:rPr>
            </w:pPr>
            <w:r>
              <w:rPr>
                <w:rFonts w:ascii="Times New Roman" w:hAnsi="Times New Roman" w:cs="Times New Roman"/>
                <w:sz w:val="24"/>
                <w:szCs w:val="24"/>
              </w:rPr>
              <w:t>0.8</w:t>
            </w:r>
            <w:r w:rsidR="00527115" w:rsidRPr="00527115">
              <w:rPr>
                <w:rFonts w:ascii="Times New Roman" w:hAnsi="Times New Roman" w:cs="Times New Roman"/>
                <w:sz w:val="24"/>
                <w:szCs w:val="24"/>
              </w:rPr>
              <w:t>%</w:t>
            </w:r>
          </w:p>
        </w:tc>
        <w:tc>
          <w:tcPr>
            <w:tcW w:w="1494" w:type="dxa"/>
            <w:vAlign w:val="bottom"/>
          </w:tcPr>
          <w:p w:rsidR="00527115" w:rsidRPr="00527115" w:rsidRDefault="00527115">
            <w:pPr>
              <w:jc w:val="right"/>
              <w:rPr>
                <w:rFonts w:ascii="Times New Roman" w:hAnsi="Times New Roman" w:cs="Times New Roman"/>
                <w:color w:val="000000"/>
                <w:sz w:val="24"/>
                <w:szCs w:val="24"/>
              </w:rPr>
            </w:pPr>
            <w:r w:rsidRPr="00527115">
              <w:rPr>
                <w:rFonts w:ascii="Times New Roman" w:hAnsi="Times New Roman" w:cs="Times New Roman"/>
                <w:color w:val="000000"/>
                <w:sz w:val="24"/>
                <w:szCs w:val="24"/>
              </w:rPr>
              <w:t>0.4%</w:t>
            </w:r>
          </w:p>
        </w:tc>
      </w:tr>
      <w:tr w:rsidR="00527115" w:rsidRPr="00527115" w:rsidTr="002A72C7">
        <w:trPr>
          <w:jc w:val="center"/>
        </w:trPr>
        <w:tc>
          <w:tcPr>
            <w:tcW w:w="1416" w:type="dxa"/>
          </w:tcPr>
          <w:p w:rsidR="00527115" w:rsidRPr="00527115" w:rsidRDefault="00527115" w:rsidP="001F7B79">
            <w:pPr>
              <w:rPr>
                <w:rFonts w:ascii="Times New Roman" w:hAnsi="Times New Roman" w:cs="Times New Roman"/>
                <w:b/>
                <w:sz w:val="24"/>
                <w:szCs w:val="24"/>
              </w:rPr>
            </w:pPr>
            <w:r w:rsidRPr="00527115">
              <w:rPr>
                <w:rFonts w:ascii="Times New Roman" w:hAnsi="Times New Roman" w:cs="Times New Roman"/>
                <w:b/>
                <w:sz w:val="24"/>
                <w:szCs w:val="24"/>
              </w:rPr>
              <w:t>Group</w:t>
            </w:r>
          </w:p>
        </w:tc>
        <w:tc>
          <w:tcPr>
            <w:tcW w:w="1266" w:type="dxa"/>
          </w:tcPr>
          <w:p w:rsidR="00527115" w:rsidRPr="00527115" w:rsidRDefault="00527115" w:rsidP="00752492">
            <w:pPr>
              <w:rPr>
                <w:rFonts w:ascii="Times New Roman" w:hAnsi="Times New Roman" w:cs="Times New Roman"/>
                <w:sz w:val="24"/>
                <w:szCs w:val="24"/>
              </w:rPr>
            </w:pPr>
            <w:r w:rsidRPr="00527115">
              <w:rPr>
                <w:rFonts w:ascii="Times New Roman" w:hAnsi="Times New Roman" w:cs="Times New Roman"/>
                <w:sz w:val="24"/>
                <w:szCs w:val="24"/>
              </w:rPr>
              <w:t>&lt;1%</w:t>
            </w:r>
          </w:p>
        </w:tc>
        <w:tc>
          <w:tcPr>
            <w:tcW w:w="1080" w:type="dxa"/>
          </w:tcPr>
          <w:p w:rsidR="00527115" w:rsidRPr="00527115" w:rsidRDefault="008916B6" w:rsidP="00F4185E">
            <w:pPr>
              <w:rPr>
                <w:rFonts w:ascii="Times New Roman" w:hAnsi="Times New Roman" w:cs="Times New Roman"/>
                <w:sz w:val="24"/>
                <w:szCs w:val="24"/>
              </w:rPr>
            </w:pPr>
            <w:r>
              <w:rPr>
                <w:rFonts w:ascii="Times New Roman" w:hAnsi="Times New Roman" w:cs="Times New Roman"/>
                <w:sz w:val="24"/>
                <w:szCs w:val="24"/>
              </w:rPr>
              <w:t>7.4</w:t>
            </w:r>
            <w:r w:rsidR="00527115" w:rsidRPr="00527115">
              <w:rPr>
                <w:rFonts w:ascii="Times New Roman" w:hAnsi="Times New Roman" w:cs="Times New Roman"/>
                <w:sz w:val="24"/>
                <w:szCs w:val="24"/>
              </w:rPr>
              <w:t>%</w:t>
            </w:r>
          </w:p>
        </w:tc>
        <w:tc>
          <w:tcPr>
            <w:tcW w:w="1494" w:type="dxa"/>
            <w:vAlign w:val="bottom"/>
          </w:tcPr>
          <w:p w:rsidR="00527115" w:rsidRPr="00527115" w:rsidRDefault="00527115">
            <w:pPr>
              <w:jc w:val="right"/>
              <w:rPr>
                <w:rFonts w:ascii="Times New Roman" w:hAnsi="Times New Roman" w:cs="Times New Roman"/>
                <w:color w:val="000000"/>
                <w:sz w:val="24"/>
                <w:szCs w:val="24"/>
              </w:rPr>
            </w:pPr>
            <w:r w:rsidRPr="00527115">
              <w:rPr>
                <w:rFonts w:ascii="Times New Roman" w:hAnsi="Times New Roman" w:cs="Times New Roman"/>
                <w:color w:val="000000"/>
                <w:sz w:val="24"/>
                <w:szCs w:val="24"/>
              </w:rPr>
              <w:t>0.1%</w:t>
            </w:r>
          </w:p>
        </w:tc>
      </w:tr>
    </w:tbl>
    <w:p w:rsidR="00CE0CA6" w:rsidRPr="00527115" w:rsidRDefault="00886293" w:rsidP="00F4185E">
      <w:pPr>
        <w:spacing w:line="240" w:lineRule="auto"/>
        <w:rPr>
          <w:rFonts w:ascii="Times New Roman" w:hAnsi="Times New Roman" w:cs="Times New Roman"/>
          <w:sz w:val="24"/>
          <w:szCs w:val="24"/>
        </w:rPr>
      </w:pPr>
      <w:r>
        <w:rPr>
          <w:rFonts w:ascii="Times New Roman" w:hAnsi="Times New Roman" w:cs="Times New Roman"/>
          <w:sz w:val="24"/>
          <w:szCs w:val="24"/>
        </w:rPr>
        <w:br/>
      </w:r>
      <w:r w:rsidR="0053413E">
        <w:rPr>
          <w:rFonts w:ascii="Times New Roman" w:hAnsi="Times New Roman" w:cs="Times New Roman"/>
          <w:sz w:val="24"/>
          <w:szCs w:val="24"/>
        </w:rPr>
        <w:t>During FY 2011, we implemented the allocation of concurrent therapy without the allocation of group therapy and providers shifted from concurrent therapy to group therapy.   FY 2012 data indicate that after the allocation of group therapy facilities are providing individual therapy almost exclusively.</w:t>
      </w:r>
    </w:p>
    <w:p w:rsidR="00F4185E" w:rsidRPr="00436DA5" w:rsidRDefault="00F4185E" w:rsidP="00F4185E">
      <w:pPr>
        <w:spacing w:line="240" w:lineRule="auto"/>
        <w:rPr>
          <w:rFonts w:ascii="Times New Roman" w:hAnsi="Times New Roman" w:cs="Times New Roman"/>
          <w:b/>
          <w:sz w:val="24"/>
          <w:szCs w:val="24"/>
          <w:u w:val="single"/>
        </w:rPr>
      </w:pPr>
      <w:r w:rsidRPr="00436DA5">
        <w:rPr>
          <w:rFonts w:ascii="Times New Roman" w:hAnsi="Times New Roman" w:cs="Times New Roman"/>
          <w:b/>
          <w:sz w:val="24"/>
          <w:szCs w:val="24"/>
          <w:u w:val="single"/>
        </w:rPr>
        <w:t>MDS 3.0 Changes</w:t>
      </w:r>
      <w:r w:rsidR="00436DA5">
        <w:rPr>
          <w:rFonts w:ascii="Times New Roman" w:hAnsi="Times New Roman" w:cs="Times New Roman"/>
          <w:b/>
          <w:sz w:val="24"/>
          <w:szCs w:val="24"/>
          <w:u w:val="single"/>
        </w:rPr>
        <w:t>:</w:t>
      </w:r>
    </w:p>
    <w:p w:rsidR="00894C07" w:rsidRDefault="004C1C34" w:rsidP="0053413E">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In FY 2012, we introduced a </w:t>
      </w:r>
      <w:r w:rsidR="00806925">
        <w:rPr>
          <w:rFonts w:ascii="Times New Roman" w:hAnsi="Times New Roman" w:cs="Times New Roman"/>
          <w:sz w:val="24"/>
          <w:szCs w:val="24"/>
        </w:rPr>
        <w:t xml:space="preserve">new assessment called the </w:t>
      </w:r>
      <w:r w:rsidR="00454F95" w:rsidRPr="00454F95">
        <w:rPr>
          <w:rFonts w:ascii="Times New Roman" w:hAnsi="Times New Roman" w:cs="Times New Roman"/>
          <w:sz w:val="24"/>
          <w:szCs w:val="24"/>
        </w:rPr>
        <w:t xml:space="preserve">COT OMRA </w:t>
      </w:r>
      <w:r w:rsidR="00454F95">
        <w:rPr>
          <w:rFonts w:ascii="Times New Roman" w:hAnsi="Times New Roman" w:cs="Times New Roman"/>
          <w:sz w:val="24"/>
          <w:szCs w:val="24"/>
        </w:rPr>
        <w:t xml:space="preserve">to </w:t>
      </w:r>
      <w:r w:rsidR="00752492" w:rsidRPr="00752492">
        <w:rPr>
          <w:rFonts w:ascii="Times New Roman" w:hAnsi="Times New Roman" w:cs="Times New Roman"/>
          <w:sz w:val="24"/>
          <w:szCs w:val="24"/>
        </w:rPr>
        <w:t>accurately</w:t>
      </w:r>
      <w:r w:rsidR="00752492">
        <w:rPr>
          <w:rFonts w:ascii="Times New Roman" w:hAnsi="Times New Roman" w:cs="Times New Roman"/>
          <w:sz w:val="24"/>
          <w:szCs w:val="24"/>
        </w:rPr>
        <w:t xml:space="preserve"> </w:t>
      </w:r>
      <w:r>
        <w:rPr>
          <w:rFonts w:ascii="Times New Roman" w:hAnsi="Times New Roman" w:cs="Times New Roman"/>
          <w:sz w:val="24"/>
          <w:szCs w:val="24"/>
        </w:rPr>
        <w:t>capture the</w:t>
      </w:r>
      <w:r w:rsidR="002C44F6">
        <w:rPr>
          <w:rFonts w:ascii="Times New Roman" w:hAnsi="Times New Roman" w:cs="Times New Roman"/>
          <w:sz w:val="24"/>
          <w:szCs w:val="24"/>
        </w:rPr>
        <w:t xml:space="preserve"> therapy</w:t>
      </w:r>
      <w:r>
        <w:rPr>
          <w:rFonts w:ascii="Times New Roman" w:hAnsi="Times New Roman" w:cs="Times New Roman"/>
          <w:sz w:val="24"/>
          <w:szCs w:val="24"/>
        </w:rPr>
        <w:t xml:space="preserve"> services provided to SNF residents. </w:t>
      </w:r>
      <w:r w:rsidR="00454F95">
        <w:rPr>
          <w:rFonts w:ascii="Times New Roman" w:hAnsi="Times New Roman" w:cs="Times New Roman"/>
          <w:sz w:val="24"/>
          <w:szCs w:val="24"/>
        </w:rPr>
        <w:t>F</w:t>
      </w:r>
      <w:r w:rsidR="002C44F6">
        <w:rPr>
          <w:rFonts w:ascii="Times New Roman" w:hAnsi="Times New Roman" w:cs="Times New Roman"/>
          <w:sz w:val="24"/>
          <w:szCs w:val="24"/>
        </w:rPr>
        <w:t xml:space="preserve">or all residents receiving skilled therapy services, SNFs are required to conduct an informal check each week of the amount of therapy that a given resident received to ensure that the resident received enough therapy to maintain their qualification in their designated RUG-IV therapy classification. In cases where the </w:t>
      </w:r>
      <w:r w:rsidR="009B7B98">
        <w:rPr>
          <w:rFonts w:ascii="Times New Roman" w:hAnsi="Times New Roman" w:cs="Times New Roman"/>
          <w:sz w:val="24"/>
          <w:szCs w:val="24"/>
        </w:rPr>
        <w:t>resident’s</w:t>
      </w:r>
      <w:r w:rsidR="002C44F6">
        <w:rPr>
          <w:rFonts w:ascii="Times New Roman" w:hAnsi="Times New Roman" w:cs="Times New Roman"/>
          <w:sz w:val="24"/>
          <w:szCs w:val="24"/>
        </w:rPr>
        <w:t xml:space="preserve"> therapy is not consistent with their prior RUG-IV therapy classification, the SNF must complete a COT OMRA to reclassify the resident into the appropriate RUG-IV therapy category</w:t>
      </w:r>
      <w:r w:rsidR="00454F95">
        <w:rPr>
          <w:rFonts w:ascii="Times New Roman" w:hAnsi="Times New Roman" w:cs="Times New Roman"/>
          <w:sz w:val="24"/>
          <w:szCs w:val="24"/>
        </w:rPr>
        <w:t>.</w:t>
      </w:r>
      <w:r w:rsidR="00752492">
        <w:rPr>
          <w:rFonts w:ascii="Times New Roman" w:hAnsi="Times New Roman" w:cs="Times New Roman"/>
          <w:sz w:val="24"/>
          <w:szCs w:val="24"/>
        </w:rPr>
        <w:t xml:space="preserve"> </w:t>
      </w:r>
      <w:r w:rsidR="00454F95">
        <w:rPr>
          <w:rFonts w:ascii="Times New Roman" w:hAnsi="Times New Roman" w:cs="Times New Roman"/>
          <w:sz w:val="24"/>
          <w:szCs w:val="24"/>
        </w:rPr>
        <w:t>The COT OMRA</w:t>
      </w:r>
      <w:r w:rsidR="00752492">
        <w:rPr>
          <w:rFonts w:ascii="Times New Roman" w:hAnsi="Times New Roman" w:cs="Times New Roman"/>
          <w:sz w:val="24"/>
          <w:szCs w:val="24"/>
        </w:rPr>
        <w:t xml:space="preserve"> changes payment retrospectively for the 7 day observation period and prospectively until a new assessment is done</w:t>
      </w:r>
      <w:r w:rsidR="002C44F6">
        <w:rPr>
          <w:rFonts w:ascii="Times New Roman" w:hAnsi="Times New Roman" w:cs="Times New Roman"/>
          <w:sz w:val="24"/>
          <w:szCs w:val="24"/>
        </w:rPr>
        <w:t>.</w:t>
      </w:r>
      <w:r w:rsidR="009B7B98">
        <w:rPr>
          <w:rFonts w:ascii="Times New Roman" w:hAnsi="Times New Roman" w:cs="Times New Roman"/>
          <w:sz w:val="24"/>
          <w:szCs w:val="24"/>
        </w:rPr>
        <w:t xml:space="preserve"> </w:t>
      </w:r>
      <w:r w:rsidR="00436DA5">
        <w:rPr>
          <w:rFonts w:ascii="Times New Roman" w:hAnsi="Times New Roman" w:cs="Times New Roman"/>
          <w:sz w:val="24"/>
          <w:szCs w:val="24"/>
        </w:rPr>
        <w:t xml:space="preserve"> </w:t>
      </w:r>
    </w:p>
    <w:p w:rsidR="000A68DA" w:rsidRDefault="0039626E" w:rsidP="0053413E">
      <w:pPr>
        <w:spacing w:line="240" w:lineRule="auto"/>
        <w:ind w:firstLine="720"/>
        <w:rPr>
          <w:rFonts w:ascii="Times New Roman" w:hAnsi="Times New Roman" w:cs="Times New Roman"/>
          <w:sz w:val="24"/>
          <w:szCs w:val="24"/>
        </w:rPr>
      </w:pPr>
      <w:r>
        <w:rPr>
          <w:rFonts w:ascii="Times New Roman" w:hAnsi="Times New Roman" w:cs="Times New Roman"/>
          <w:sz w:val="24"/>
          <w:szCs w:val="24"/>
        </w:rPr>
        <w:t>Table 4</w:t>
      </w:r>
      <w:r w:rsidR="009B7B98">
        <w:rPr>
          <w:rFonts w:ascii="Times New Roman" w:hAnsi="Times New Roman" w:cs="Times New Roman"/>
          <w:sz w:val="24"/>
          <w:szCs w:val="24"/>
        </w:rPr>
        <w:t xml:space="preserve"> </w:t>
      </w:r>
      <w:r>
        <w:rPr>
          <w:rFonts w:ascii="Times New Roman" w:hAnsi="Times New Roman" w:cs="Times New Roman"/>
          <w:sz w:val="24"/>
          <w:szCs w:val="24"/>
        </w:rPr>
        <w:t xml:space="preserve">below shows </w:t>
      </w:r>
      <w:r w:rsidR="009B7B98">
        <w:rPr>
          <w:rFonts w:ascii="Times New Roman" w:hAnsi="Times New Roman" w:cs="Times New Roman"/>
          <w:sz w:val="24"/>
          <w:szCs w:val="24"/>
        </w:rPr>
        <w:t>the distribut</w:t>
      </w:r>
      <w:r>
        <w:rPr>
          <w:rFonts w:ascii="Times New Roman" w:hAnsi="Times New Roman" w:cs="Times New Roman"/>
          <w:sz w:val="24"/>
          <w:szCs w:val="24"/>
        </w:rPr>
        <w:t>ion of all MDS assessment types</w:t>
      </w:r>
      <w:r w:rsidR="009B7B98">
        <w:rPr>
          <w:rFonts w:ascii="Times New Roman" w:hAnsi="Times New Roman" w:cs="Times New Roman"/>
          <w:sz w:val="24"/>
          <w:szCs w:val="24"/>
        </w:rPr>
        <w:t xml:space="preserve"> as a percent of all MDS assessments.</w:t>
      </w:r>
      <w:r>
        <w:rPr>
          <w:rFonts w:ascii="Times New Roman" w:hAnsi="Times New Roman" w:cs="Times New Roman"/>
          <w:sz w:val="24"/>
          <w:szCs w:val="24"/>
        </w:rPr>
        <w:t xml:space="preserve">  </w:t>
      </w:r>
    </w:p>
    <w:p w:rsidR="009B7B98" w:rsidRDefault="009B7B98" w:rsidP="009B7B98">
      <w:pPr>
        <w:spacing w:line="240" w:lineRule="auto"/>
        <w:jc w:val="center"/>
        <w:rPr>
          <w:rFonts w:ascii="Times New Roman" w:hAnsi="Times New Roman" w:cs="Times New Roman"/>
          <w:sz w:val="24"/>
          <w:szCs w:val="24"/>
          <w:u w:val="single"/>
        </w:rPr>
      </w:pPr>
      <w:r w:rsidRPr="009B7B98">
        <w:rPr>
          <w:rFonts w:ascii="Times New Roman" w:hAnsi="Times New Roman" w:cs="Times New Roman"/>
          <w:sz w:val="24"/>
          <w:szCs w:val="24"/>
          <w:u w:val="single"/>
        </w:rPr>
        <w:t>Table 4: Distribution of MDS assessment types</w:t>
      </w:r>
    </w:p>
    <w:tbl>
      <w:tblPr>
        <w:tblStyle w:val="TableGrid"/>
        <w:tblW w:w="0" w:type="auto"/>
        <w:jc w:val="center"/>
        <w:tblLook w:val="04A0"/>
      </w:tblPr>
      <w:tblGrid>
        <w:gridCol w:w="5803"/>
        <w:gridCol w:w="1076"/>
        <w:gridCol w:w="1763"/>
      </w:tblGrid>
      <w:tr w:rsidR="009B7B98" w:rsidTr="009B7B98">
        <w:trPr>
          <w:jc w:val="center"/>
        </w:trPr>
        <w:tc>
          <w:tcPr>
            <w:tcW w:w="0" w:type="auto"/>
            <w:tcBorders>
              <w:top w:val="nil"/>
              <w:left w:val="nil"/>
            </w:tcBorders>
          </w:tcPr>
          <w:p w:rsidR="009B7B98" w:rsidRDefault="009B7B98" w:rsidP="009B7B98">
            <w:pPr>
              <w:rPr>
                <w:rFonts w:ascii="Times New Roman" w:hAnsi="Times New Roman" w:cs="Times New Roman"/>
                <w:sz w:val="24"/>
                <w:szCs w:val="24"/>
                <w:u w:val="single"/>
              </w:rPr>
            </w:pPr>
          </w:p>
        </w:tc>
        <w:tc>
          <w:tcPr>
            <w:tcW w:w="0" w:type="auto"/>
          </w:tcPr>
          <w:p w:rsidR="009B7B98" w:rsidRPr="00F03801" w:rsidRDefault="009B7B98" w:rsidP="009B7B98">
            <w:pPr>
              <w:jc w:val="center"/>
              <w:rPr>
                <w:rFonts w:ascii="Times New Roman" w:hAnsi="Times New Roman" w:cs="Times New Roman"/>
                <w:b/>
                <w:sz w:val="24"/>
                <w:szCs w:val="24"/>
              </w:rPr>
            </w:pPr>
            <w:r w:rsidRPr="00F03801">
              <w:rPr>
                <w:rFonts w:ascii="Times New Roman" w:hAnsi="Times New Roman" w:cs="Times New Roman"/>
                <w:b/>
                <w:sz w:val="24"/>
                <w:szCs w:val="24"/>
              </w:rPr>
              <w:t>FY 2011</w:t>
            </w:r>
          </w:p>
        </w:tc>
        <w:tc>
          <w:tcPr>
            <w:tcW w:w="0" w:type="auto"/>
          </w:tcPr>
          <w:p w:rsidR="00886293" w:rsidRDefault="00886293" w:rsidP="009B7B98">
            <w:pPr>
              <w:jc w:val="center"/>
              <w:rPr>
                <w:rFonts w:ascii="Times New Roman" w:hAnsi="Times New Roman" w:cs="Times New Roman"/>
                <w:b/>
                <w:sz w:val="24"/>
                <w:szCs w:val="24"/>
              </w:rPr>
            </w:pPr>
            <w:r>
              <w:rPr>
                <w:rFonts w:ascii="Times New Roman" w:hAnsi="Times New Roman" w:cs="Times New Roman"/>
                <w:b/>
                <w:sz w:val="24"/>
                <w:szCs w:val="24"/>
              </w:rPr>
              <w:t>Q1</w:t>
            </w:r>
            <w:r w:rsidR="002A72C7">
              <w:rPr>
                <w:rFonts w:ascii="Times New Roman" w:hAnsi="Times New Roman" w:cs="Times New Roman"/>
                <w:b/>
                <w:sz w:val="24"/>
                <w:szCs w:val="24"/>
              </w:rPr>
              <w:t xml:space="preserve">, </w:t>
            </w:r>
            <w:r>
              <w:rPr>
                <w:rFonts w:ascii="Times New Roman" w:hAnsi="Times New Roman" w:cs="Times New Roman"/>
                <w:b/>
                <w:sz w:val="24"/>
                <w:szCs w:val="24"/>
              </w:rPr>
              <w:t>Q2</w:t>
            </w:r>
            <w:r w:rsidR="002A72C7">
              <w:rPr>
                <w:rFonts w:ascii="Times New Roman" w:hAnsi="Times New Roman" w:cs="Times New Roman"/>
                <w:b/>
                <w:sz w:val="24"/>
                <w:szCs w:val="24"/>
              </w:rPr>
              <w:t xml:space="preserve"> and Q3</w:t>
            </w:r>
          </w:p>
          <w:p w:rsidR="009B7B98" w:rsidRPr="00F03801" w:rsidRDefault="009B7B98" w:rsidP="009B7B98">
            <w:pPr>
              <w:jc w:val="center"/>
              <w:rPr>
                <w:rFonts w:ascii="Times New Roman" w:hAnsi="Times New Roman" w:cs="Times New Roman"/>
                <w:b/>
                <w:sz w:val="24"/>
                <w:szCs w:val="24"/>
              </w:rPr>
            </w:pPr>
            <w:r w:rsidRPr="00F03801">
              <w:rPr>
                <w:rFonts w:ascii="Times New Roman" w:hAnsi="Times New Roman" w:cs="Times New Roman"/>
                <w:b/>
                <w:sz w:val="24"/>
                <w:szCs w:val="24"/>
              </w:rPr>
              <w:t>FY 2012</w:t>
            </w:r>
          </w:p>
        </w:tc>
      </w:tr>
      <w:tr w:rsidR="00527115" w:rsidTr="008916B6">
        <w:trPr>
          <w:jc w:val="center"/>
        </w:trPr>
        <w:tc>
          <w:tcPr>
            <w:tcW w:w="0" w:type="auto"/>
          </w:tcPr>
          <w:p w:rsidR="00527115" w:rsidRPr="00F03801" w:rsidRDefault="00527115" w:rsidP="009B7B98">
            <w:pPr>
              <w:rPr>
                <w:rFonts w:ascii="Times New Roman" w:hAnsi="Times New Roman" w:cs="Times New Roman"/>
                <w:b/>
                <w:sz w:val="24"/>
                <w:szCs w:val="24"/>
              </w:rPr>
            </w:pPr>
            <w:r w:rsidRPr="00F03801">
              <w:rPr>
                <w:rFonts w:ascii="Times New Roman" w:hAnsi="Times New Roman" w:cs="Times New Roman"/>
                <w:b/>
                <w:sz w:val="24"/>
                <w:szCs w:val="24"/>
              </w:rPr>
              <w:t>Scheduled PPS assessment</w:t>
            </w:r>
          </w:p>
        </w:tc>
        <w:tc>
          <w:tcPr>
            <w:tcW w:w="0" w:type="auto"/>
          </w:tcPr>
          <w:p w:rsidR="00527115" w:rsidRPr="009B7B98" w:rsidRDefault="00527115" w:rsidP="009B7B98">
            <w:pPr>
              <w:jc w:val="center"/>
              <w:rPr>
                <w:rFonts w:ascii="Times New Roman" w:hAnsi="Times New Roman" w:cs="Times New Roman"/>
                <w:sz w:val="24"/>
                <w:szCs w:val="24"/>
              </w:rPr>
            </w:pPr>
            <w:r>
              <w:rPr>
                <w:rFonts w:ascii="Times New Roman" w:hAnsi="Times New Roman" w:cs="Times New Roman"/>
                <w:sz w:val="24"/>
                <w:szCs w:val="24"/>
              </w:rPr>
              <w:t>95%</w:t>
            </w:r>
          </w:p>
        </w:tc>
        <w:tc>
          <w:tcPr>
            <w:tcW w:w="0" w:type="auto"/>
            <w:vAlign w:val="bottom"/>
          </w:tcPr>
          <w:p w:rsidR="00527115" w:rsidRPr="00527115" w:rsidRDefault="00527115">
            <w:pPr>
              <w:jc w:val="center"/>
              <w:rPr>
                <w:rFonts w:ascii="Times New Roman" w:hAnsi="Times New Roman" w:cs="Times New Roman"/>
                <w:color w:val="000000"/>
                <w:sz w:val="24"/>
                <w:szCs w:val="24"/>
              </w:rPr>
            </w:pPr>
            <w:r w:rsidRPr="00527115">
              <w:rPr>
                <w:rFonts w:ascii="Times New Roman" w:hAnsi="Times New Roman" w:cs="Times New Roman"/>
                <w:color w:val="000000"/>
                <w:sz w:val="24"/>
                <w:szCs w:val="24"/>
              </w:rPr>
              <w:t>84%</w:t>
            </w:r>
          </w:p>
        </w:tc>
      </w:tr>
      <w:tr w:rsidR="00527115" w:rsidTr="008916B6">
        <w:trPr>
          <w:jc w:val="center"/>
        </w:trPr>
        <w:tc>
          <w:tcPr>
            <w:tcW w:w="0" w:type="auto"/>
          </w:tcPr>
          <w:p w:rsidR="00527115" w:rsidRPr="00F03801" w:rsidRDefault="00527115" w:rsidP="009B7B98">
            <w:pPr>
              <w:rPr>
                <w:rFonts w:ascii="Times New Roman" w:hAnsi="Times New Roman" w:cs="Times New Roman"/>
                <w:b/>
                <w:sz w:val="24"/>
                <w:szCs w:val="24"/>
              </w:rPr>
            </w:pPr>
            <w:r w:rsidRPr="00F03801">
              <w:rPr>
                <w:rFonts w:ascii="Times New Roman" w:hAnsi="Times New Roman" w:cs="Times New Roman"/>
                <w:b/>
                <w:sz w:val="24"/>
                <w:szCs w:val="24"/>
              </w:rPr>
              <w:t>Start-of-Therapy (SOT) assessment</w:t>
            </w:r>
          </w:p>
        </w:tc>
        <w:tc>
          <w:tcPr>
            <w:tcW w:w="0" w:type="auto"/>
          </w:tcPr>
          <w:p w:rsidR="00527115" w:rsidRPr="009B7B98" w:rsidRDefault="00527115" w:rsidP="009B7B98">
            <w:pPr>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Align w:val="bottom"/>
          </w:tcPr>
          <w:p w:rsidR="00527115" w:rsidRPr="00527115" w:rsidRDefault="00527115">
            <w:pPr>
              <w:jc w:val="center"/>
              <w:rPr>
                <w:rFonts w:ascii="Times New Roman" w:hAnsi="Times New Roman" w:cs="Times New Roman"/>
                <w:color w:val="000000"/>
                <w:sz w:val="24"/>
                <w:szCs w:val="24"/>
              </w:rPr>
            </w:pPr>
            <w:r w:rsidRPr="00527115">
              <w:rPr>
                <w:rFonts w:ascii="Times New Roman" w:hAnsi="Times New Roman" w:cs="Times New Roman"/>
                <w:color w:val="000000"/>
                <w:sz w:val="24"/>
                <w:szCs w:val="24"/>
              </w:rPr>
              <w:t>2%</w:t>
            </w:r>
          </w:p>
        </w:tc>
      </w:tr>
      <w:tr w:rsidR="00527115" w:rsidTr="008916B6">
        <w:trPr>
          <w:jc w:val="center"/>
        </w:trPr>
        <w:tc>
          <w:tcPr>
            <w:tcW w:w="0" w:type="auto"/>
          </w:tcPr>
          <w:p w:rsidR="00527115" w:rsidRPr="00F03801" w:rsidRDefault="00527115" w:rsidP="009B7B98">
            <w:pPr>
              <w:rPr>
                <w:rFonts w:ascii="Times New Roman" w:hAnsi="Times New Roman" w:cs="Times New Roman"/>
                <w:b/>
                <w:sz w:val="24"/>
                <w:szCs w:val="24"/>
              </w:rPr>
            </w:pPr>
            <w:r w:rsidRPr="00F03801">
              <w:rPr>
                <w:rFonts w:ascii="Times New Roman" w:hAnsi="Times New Roman" w:cs="Times New Roman"/>
                <w:b/>
                <w:sz w:val="24"/>
                <w:szCs w:val="24"/>
              </w:rPr>
              <w:t>End-of-Therapy (EOT) assessment (w/o Resumption)</w:t>
            </w:r>
          </w:p>
        </w:tc>
        <w:tc>
          <w:tcPr>
            <w:tcW w:w="0" w:type="auto"/>
          </w:tcPr>
          <w:p w:rsidR="00527115" w:rsidRPr="009B7B98" w:rsidRDefault="00527115" w:rsidP="009B7B98">
            <w:pPr>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vAlign w:val="bottom"/>
          </w:tcPr>
          <w:p w:rsidR="00527115" w:rsidRPr="00527115" w:rsidRDefault="00527115">
            <w:pPr>
              <w:jc w:val="center"/>
              <w:rPr>
                <w:rFonts w:ascii="Times New Roman" w:hAnsi="Times New Roman" w:cs="Times New Roman"/>
                <w:color w:val="000000"/>
                <w:sz w:val="24"/>
                <w:szCs w:val="24"/>
              </w:rPr>
            </w:pPr>
            <w:r w:rsidRPr="00527115">
              <w:rPr>
                <w:rFonts w:ascii="Times New Roman" w:hAnsi="Times New Roman" w:cs="Times New Roman"/>
                <w:color w:val="000000"/>
                <w:sz w:val="24"/>
                <w:szCs w:val="24"/>
              </w:rPr>
              <w:t>3%</w:t>
            </w:r>
          </w:p>
        </w:tc>
      </w:tr>
      <w:tr w:rsidR="00527115" w:rsidTr="008916B6">
        <w:trPr>
          <w:jc w:val="center"/>
        </w:trPr>
        <w:tc>
          <w:tcPr>
            <w:tcW w:w="0" w:type="auto"/>
          </w:tcPr>
          <w:p w:rsidR="00527115" w:rsidRPr="00F03801" w:rsidRDefault="00527115" w:rsidP="009B7B98">
            <w:pPr>
              <w:rPr>
                <w:rFonts w:ascii="Times New Roman" w:hAnsi="Times New Roman" w:cs="Times New Roman"/>
                <w:b/>
                <w:sz w:val="24"/>
                <w:szCs w:val="24"/>
              </w:rPr>
            </w:pPr>
            <w:r w:rsidRPr="00F03801">
              <w:rPr>
                <w:rFonts w:ascii="Times New Roman" w:hAnsi="Times New Roman" w:cs="Times New Roman"/>
                <w:b/>
                <w:sz w:val="24"/>
                <w:szCs w:val="24"/>
              </w:rPr>
              <w:t>Combined SOT/EOT</w:t>
            </w:r>
          </w:p>
        </w:tc>
        <w:tc>
          <w:tcPr>
            <w:tcW w:w="0" w:type="auto"/>
          </w:tcPr>
          <w:p w:rsidR="00527115" w:rsidRPr="009B7B98" w:rsidRDefault="00527115" w:rsidP="009B7B98">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vAlign w:val="bottom"/>
          </w:tcPr>
          <w:p w:rsidR="00527115" w:rsidRPr="00527115" w:rsidRDefault="00527115">
            <w:pPr>
              <w:jc w:val="center"/>
              <w:rPr>
                <w:rFonts w:ascii="Times New Roman" w:hAnsi="Times New Roman" w:cs="Times New Roman"/>
                <w:color w:val="000000"/>
                <w:sz w:val="24"/>
                <w:szCs w:val="24"/>
              </w:rPr>
            </w:pPr>
            <w:r w:rsidRPr="00527115">
              <w:rPr>
                <w:rFonts w:ascii="Times New Roman" w:hAnsi="Times New Roman" w:cs="Times New Roman"/>
                <w:color w:val="000000"/>
                <w:sz w:val="24"/>
                <w:szCs w:val="24"/>
              </w:rPr>
              <w:t>0%</w:t>
            </w:r>
          </w:p>
        </w:tc>
      </w:tr>
      <w:tr w:rsidR="00527115" w:rsidTr="008916B6">
        <w:trPr>
          <w:jc w:val="center"/>
        </w:trPr>
        <w:tc>
          <w:tcPr>
            <w:tcW w:w="0" w:type="auto"/>
          </w:tcPr>
          <w:p w:rsidR="00527115" w:rsidRPr="00F03801" w:rsidRDefault="00527115" w:rsidP="009B7B98">
            <w:pPr>
              <w:rPr>
                <w:rFonts w:ascii="Times New Roman" w:hAnsi="Times New Roman" w:cs="Times New Roman"/>
                <w:b/>
                <w:sz w:val="24"/>
                <w:szCs w:val="24"/>
              </w:rPr>
            </w:pPr>
            <w:r w:rsidRPr="00F03801">
              <w:rPr>
                <w:rFonts w:ascii="Times New Roman" w:hAnsi="Times New Roman" w:cs="Times New Roman"/>
                <w:b/>
                <w:sz w:val="24"/>
                <w:szCs w:val="24"/>
              </w:rPr>
              <w:t>End-of-Therapy assessment (w/ Resumption) (EOT-R)</w:t>
            </w:r>
          </w:p>
        </w:tc>
        <w:tc>
          <w:tcPr>
            <w:tcW w:w="0" w:type="auto"/>
          </w:tcPr>
          <w:p w:rsidR="00527115" w:rsidRPr="009B7B98" w:rsidRDefault="00527115" w:rsidP="009B7B98">
            <w:pPr>
              <w:jc w:val="center"/>
              <w:rPr>
                <w:rFonts w:ascii="Times New Roman" w:hAnsi="Times New Roman" w:cs="Times New Roman"/>
                <w:sz w:val="24"/>
                <w:szCs w:val="24"/>
              </w:rPr>
            </w:pPr>
            <w:r>
              <w:rPr>
                <w:rFonts w:ascii="Times New Roman" w:hAnsi="Times New Roman" w:cs="Times New Roman"/>
                <w:sz w:val="24"/>
                <w:szCs w:val="24"/>
              </w:rPr>
              <w:t>N/A</w:t>
            </w:r>
          </w:p>
        </w:tc>
        <w:tc>
          <w:tcPr>
            <w:tcW w:w="0" w:type="auto"/>
            <w:vAlign w:val="bottom"/>
          </w:tcPr>
          <w:p w:rsidR="00527115" w:rsidRPr="00527115" w:rsidRDefault="00527115">
            <w:pPr>
              <w:jc w:val="center"/>
              <w:rPr>
                <w:rFonts w:ascii="Times New Roman" w:hAnsi="Times New Roman" w:cs="Times New Roman"/>
                <w:color w:val="000000"/>
                <w:sz w:val="24"/>
                <w:szCs w:val="24"/>
              </w:rPr>
            </w:pPr>
            <w:r w:rsidRPr="00527115">
              <w:rPr>
                <w:rFonts w:ascii="Times New Roman" w:hAnsi="Times New Roman" w:cs="Times New Roman"/>
                <w:color w:val="000000"/>
                <w:sz w:val="24"/>
                <w:szCs w:val="24"/>
              </w:rPr>
              <w:t>0%</w:t>
            </w:r>
          </w:p>
        </w:tc>
      </w:tr>
      <w:tr w:rsidR="00527115" w:rsidTr="008916B6">
        <w:trPr>
          <w:jc w:val="center"/>
        </w:trPr>
        <w:tc>
          <w:tcPr>
            <w:tcW w:w="0" w:type="auto"/>
          </w:tcPr>
          <w:p w:rsidR="00527115" w:rsidRPr="00F03801" w:rsidRDefault="00527115" w:rsidP="009B7B98">
            <w:pPr>
              <w:rPr>
                <w:rFonts w:ascii="Times New Roman" w:hAnsi="Times New Roman" w:cs="Times New Roman"/>
                <w:b/>
                <w:sz w:val="24"/>
                <w:szCs w:val="24"/>
              </w:rPr>
            </w:pPr>
            <w:r w:rsidRPr="00F03801">
              <w:rPr>
                <w:rFonts w:ascii="Times New Roman" w:hAnsi="Times New Roman" w:cs="Times New Roman"/>
                <w:b/>
                <w:sz w:val="24"/>
                <w:szCs w:val="24"/>
              </w:rPr>
              <w:t>Combined SOT/EOT-R</w:t>
            </w:r>
          </w:p>
        </w:tc>
        <w:tc>
          <w:tcPr>
            <w:tcW w:w="0" w:type="auto"/>
          </w:tcPr>
          <w:p w:rsidR="00527115" w:rsidRPr="009B7B98" w:rsidRDefault="00527115" w:rsidP="009B7B98">
            <w:pPr>
              <w:jc w:val="center"/>
              <w:rPr>
                <w:rFonts w:ascii="Times New Roman" w:hAnsi="Times New Roman" w:cs="Times New Roman"/>
                <w:sz w:val="24"/>
                <w:szCs w:val="24"/>
              </w:rPr>
            </w:pPr>
            <w:r>
              <w:rPr>
                <w:rFonts w:ascii="Times New Roman" w:hAnsi="Times New Roman" w:cs="Times New Roman"/>
                <w:sz w:val="24"/>
                <w:szCs w:val="24"/>
              </w:rPr>
              <w:t>N/A</w:t>
            </w:r>
          </w:p>
        </w:tc>
        <w:tc>
          <w:tcPr>
            <w:tcW w:w="0" w:type="auto"/>
            <w:vAlign w:val="bottom"/>
          </w:tcPr>
          <w:p w:rsidR="00527115" w:rsidRPr="00527115" w:rsidRDefault="00527115">
            <w:pPr>
              <w:jc w:val="center"/>
              <w:rPr>
                <w:rFonts w:ascii="Times New Roman" w:hAnsi="Times New Roman" w:cs="Times New Roman"/>
                <w:color w:val="000000"/>
                <w:sz w:val="24"/>
                <w:szCs w:val="24"/>
              </w:rPr>
            </w:pPr>
            <w:r w:rsidRPr="00527115">
              <w:rPr>
                <w:rFonts w:ascii="Times New Roman" w:hAnsi="Times New Roman" w:cs="Times New Roman"/>
                <w:color w:val="000000"/>
                <w:sz w:val="24"/>
                <w:szCs w:val="24"/>
              </w:rPr>
              <w:t>0%</w:t>
            </w:r>
          </w:p>
        </w:tc>
      </w:tr>
      <w:tr w:rsidR="00527115" w:rsidTr="008916B6">
        <w:trPr>
          <w:jc w:val="center"/>
        </w:trPr>
        <w:tc>
          <w:tcPr>
            <w:tcW w:w="0" w:type="auto"/>
          </w:tcPr>
          <w:p w:rsidR="00527115" w:rsidRPr="00F03801" w:rsidRDefault="00527115" w:rsidP="009B7B98">
            <w:pPr>
              <w:rPr>
                <w:rFonts w:ascii="Times New Roman" w:hAnsi="Times New Roman" w:cs="Times New Roman"/>
                <w:b/>
                <w:sz w:val="24"/>
                <w:szCs w:val="24"/>
              </w:rPr>
            </w:pPr>
            <w:r w:rsidRPr="00F03801">
              <w:rPr>
                <w:rFonts w:ascii="Times New Roman" w:hAnsi="Times New Roman" w:cs="Times New Roman"/>
                <w:b/>
                <w:sz w:val="24"/>
                <w:szCs w:val="24"/>
              </w:rPr>
              <w:t>Change-of-Therapy (COT) assessment</w:t>
            </w:r>
          </w:p>
        </w:tc>
        <w:tc>
          <w:tcPr>
            <w:tcW w:w="0" w:type="auto"/>
          </w:tcPr>
          <w:p w:rsidR="00527115" w:rsidRPr="009B7B98" w:rsidRDefault="00527115" w:rsidP="009B7B98">
            <w:pPr>
              <w:jc w:val="center"/>
              <w:rPr>
                <w:rFonts w:ascii="Times New Roman" w:hAnsi="Times New Roman" w:cs="Times New Roman"/>
                <w:sz w:val="24"/>
                <w:szCs w:val="24"/>
              </w:rPr>
            </w:pPr>
            <w:r>
              <w:rPr>
                <w:rFonts w:ascii="Times New Roman" w:hAnsi="Times New Roman" w:cs="Times New Roman"/>
                <w:sz w:val="24"/>
                <w:szCs w:val="24"/>
              </w:rPr>
              <w:t>N/A</w:t>
            </w:r>
          </w:p>
        </w:tc>
        <w:tc>
          <w:tcPr>
            <w:tcW w:w="0" w:type="auto"/>
            <w:vAlign w:val="bottom"/>
          </w:tcPr>
          <w:p w:rsidR="00527115" w:rsidRPr="00527115" w:rsidRDefault="00527115">
            <w:pPr>
              <w:jc w:val="center"/>
              <w:rPr>
                <w:rFonts w:ascii="Times New Roman" w:hAnsi="Times New Roman" w:cs="Times New Roman"/>
                <w:color w:val="000000"/>
                <w:sz w:val="24"/>
                <w:szCs w:val="24"/>
              </w:rPr>
            </w:pPr>
            <w:r w:rsidRPr="00527115">
              <w:rPr>
                <w:rFonts w:ascii="Times New Roman" w:hAnsi="Times New Roman" w:cs="Times New Roman"/>
                <w:color w:val="000000"/>
                <w:sz w:val="24"/>
                <w:szCs w:val="24"/>
              </w:rPr>
              <w:t>11%</w:t>
            </w:r>
          </w:p>
        </w:tc>
      </w:tr>
    </w:tbl>
    <w:p w:rsidR="009B7B98" w:rsidRDefault="009B7B98" w:rsidP="009B7B98">
      <w:pPr>
        <w:spacing w:line="240" w:lineRule="auto"/>
        <w:rPr>
          <w:rFonts w:ascii="Times New Roman" w:hAnsi="Times New Roman" w:cs="Times New Roman"/>
          <w:sz w:val="24"/>
          <w:szCs w:val="24"/>
          <w:u w:val="single"/>
        </w:rPr>
      </w:pPr>
    </w:p>
    <w:p w:rsidR="008A6434" w:rsidRDefault="0053413E" w:rsidP="0053413E">
      <w:pPr>
        <w:spacing w:line="240" w:lineRule="auto"/>
        <w:ind w:firstLine="720"/>
        <w:rPr>
          <w:rFonts w:ascii="Times New Roman" w:hAnsi="Times New Roman" w:cs="Times New Roman"/>
          <w:sz w:val="24"/>
          <w:szCs w:val="24"/>
        </w:rPr>
      </w:pPr>
      <w:r w:rsidRPr="0053413E">
        <w:rPr>
          <w:rFonts w:ascii="Times New Roman" w:hAnsi="Times New Roman" w:cs="Times New Roman"/>
          <w:sz w:val="24"/>
          <w:szCs w:val="24"/>
        </w:rPr>
        <w:t xml:space="preserve">Prior to the implementation of the COT OMRA, scheduled PPS assessments comprised the vast majority of completed assessments. With the implementation of the COT OMRA for FY 2012, scheduled PPS assessments still comprise the vast majority of complete MDS assessments, though the COT OMRA is the most frequently completed OMRA. </w:t>
      </w:r>
      <w:r w:rsidR="0039626E">
        <w:rPr>
          <w:rFonts w:ascii="Times New Roman" w:hAnsi="Times New Roman" w:cs="Times New Roman"/>
          <w:sz w:val="24"/>
          <w:szCs w:val="24"/>
        </w:rPr>
        <w:t>We will continue to monitor the number of COT OMRAs</w:t>
      </w:r>
      <w:r>
        <w:rPr>
          <w:rFonts w:ascii="Times New Roman" w:hAnsi="Times New Roman" w:cs="Times New Roman"/>
          <w:sz w:val="24"/>
          <w:szCs w:val="24"/>
        </w:rPr>
        <w:t xml:space="preserve"> completed as part of the SNF PPS</w:t>
      </w:r>
      <w:r w:rsidR="0039626E">
        <w:rPr>
          <w:rFonts w:ascii="Times New Roman" w:hAnsi="Times New Roman" w:cs="Times New Roman"/>
          <w:sz w:val="24"/>
          <w:szCs w:val="24"/>
        </w:rPr>
        <w:t>.</w:t>
      </w:r>
    </w:p>
    <w:sectPr w:rsidR="008A6434" w:rsidSect="000A68DA">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614" w:rsidRDefault="000D2614" w:rsidP="004D5161">
      <w:pPr>
        <w:spacing w:after="0" w:line="240" w:lineRule="auto"/>
      </w:pPr>
      <w:r>
        <w:separator/>
      </w:r>
    </w:p>
  </w:endnote>
  <w:endnote w:type="continuationSeparator" w:id="0">
    <w:p w:rsidR="000D2614" w:rsidRDefault="000D2614" w:rsidP="004D51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614" w:rsidRDefault="000D2614" w:rsidP="004D5161">
      <w:pPr>
        <w:spacing w:after="0" w:line="240" w:lineRule="auto"/>
      </w:pPr>
      <w:r>
        <w:separator/>
      </w:r>
    </w:p>
  </w:footnote>
  <w:footnote w:type="continuationSeparator" w:id="0">
    <w:p w:rsidR="000D2614" w:rsidRDefault="000D2614" w:rsidP="004D51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4735"/>
      <w:docPartObj>
        <w:docPartGallery w:val="Page Numbers (Top of Page)"/>
        <w:docPartUnique/>
      </w:docPartObj>
    </w:sdtPr>
    <w:sdtContent>
      <w:p w:rsidR="000D2614" w:rsidRDefault="005C7924">
        <w:pPr>
          <w:pStyle w:val="Header"/>
          <w:jc w:val="right"/>
        </w:pPr>
        <w:r w:rsidRPr="004C1C34">
          <w:rPr>
            <w:rFonts w:ascii="Times New Roman" w:hAnsi="Times New Roman" w:cs="Times New Roman"/>
            <w:sz w:val="24"/>
            <w:szCs w:val="24"/>
          </w:rPr>
          <w:fldChar w:fldCharType="begin"/>
        </w:r>
        <w:r w:rsidR="000D2614" w:rsidRPr="004C1C34">
          <w:rPr>
            <w:rFonts w:ascii="Times New Roman" w:hAnsi="Times New Roman" w:cs="Times New Roman"/>
            <w:sz w:val="24"/>
            <w:szCs w:val="24"/>
          </w:rPr>
          <w:instrText xml:space="preserve"> PAGE   \* MERGEFORMAT </w:instrText>
        </w:r>
        <w:r w:rsidRPr="004C1C34">
          <w:rPr>
            <w:rFonts w:ascii="Times New Roman" w:hAnsi="Times New Roman" w:cs="Times New Roman"/>
            <w:sz w:val="24"/>
            <w:szCs w:val="24"/>
          </w:rPr>
          <w:fldChar w:fldCharType="separate"/>
        </w:r>
        <w:r w:rsidR="00250DAD">
          <w:rPr>
            <w:rFonts w:ascii="Times New Roman" w:hAnsi="Times New Roman" w:cs="Times New Roman"/>
            <w:noProof/>
            <w:sz w:val="24"/>
            <w:szCs w:val="24"/>
          </w:rPr>
          <w:t>3</w:t>
        </w:r>
        <w:r w:rsidRPr="004C1C34">
          <w:rPr>
            <w:rFonts w:ascii="Times New Roman" w:hAnsi="Times New Roman" w:cs="Times New Roman"/>
            <w:sz w:val="24"/>
            <w:szCs w:val="24"/>
          </w:rPr>
          <w:fldChar w:fldCharType="end"/>
        </w:r>
      </w:p>
    </w:sdtContent>
  </w:sdt>
  <w:p w:rsidR="000D2614" w:rsidRDefault="000D261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22AEB"/>
    <w:multiLevelType w:val="hybridMultilevel"/>
    <w:tmpl w:val="3BE41800"/>
    <w:lvl w:ilvl="0" w:tplc="4352FE16">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E62340"/>
    <w:multiLevelType w:val="hybridMultilevel"/>
    <w:tmpl w:val="256C04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056292"/>
    <w:multiLevelType w:val="hybridMultilevel"/>
    <w:tmpl w:val="A3EC09C4"/>
    <w:lvl w:ilvl="0" w:tplc="820A5162">
      <w:start w:val="1"/>
      <w:numFmt w:val="bullet"/>
      <w:lvlText w:val=""/>
      <w:lvlJc w:val="left"/>
      <w:pPr>
        <w:ind w:left="1185" w:hanging="360"/>
      </w:pPr>
      <w:rPr>
        <w:rFonts w:ascii="Symbol" w:eastAsiaTheme="minorHAnsi" w:hAnsi="Symbol" w:cs="Times New Roman"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
    <w:nsid w:val="4BB523DB"/>
    <w:multiLevelType w:val="hybridMultilevel"/>
    <w:tmpl w:val="86C84D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FF4070B"/>
    <w:multiLevelType w:val="hybridMultilevel"/>
    <w:tmpl w:val="7792A3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77C32BB"/>
    <w:multiLevelType w:val="hybridMultilevel"/>
    <w:tmpl w:val="7EB08EF6"/>
    <w:lvl w:ilvl="0" w:tplc="DF4E4C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BA53ECA"/>
    <w:multiLevelType w:val="hybridMultilevel"/>
    <w:tmpl w:val="FEC21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1"/>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55297"/>
  </w:hdrShapeDefaults>
  <w:footnotePr>
    <w:footnote w:id="-1"/>
    <w:footnote w:id="0"/>
  </w:footnotePr>
  <w:endnotePr>
    <w:endnote w:id="-1"/>
    <w:endnote w:id="0"/>
  </w:endnotePr>
  <w:compat/>
  <w:docVars>
    <w:docVar w:name="_AMO_XmlVersion" w:val="Empty"/>
  </w:docVars>
  <w:rsids>
    <w:rsidRoot w:val="004D5161"/>
    <w:rsid w:val="000017BE"/>
    <w:rsid w:val="0003589D"/>
    <w:rsid w:val="000545C2"/>
    <w:rsid w:val="00067C27"/>
    <w:rsid w:val="000A68DA"/>
    <w:rsid w:val="000D2614"/>
    <w:rsid w:val="0011337B"/>
    <w:rsid w:val="00115792"/>
    <w:rsid w:val="001A0B63"/>
    <w:rsid w:val="001A269F"/>
    <w:rsid w:val="001B46CC"/>
    <w:rsid w:val="001C34EB"/>
    <w:rsid w:val="001E2126"/>
    <w:rsid w:val="001F7B79"/>
    <w:rsid w:val="00213DFD"/>
    <w:rsid w:val="002317AE"/>
    <w:rsid w:val="00235AC9"/>
    <w:rsid w:val="002372A9"/>
    <w:rsid w:val="00246AC5"/>
    <w:rsid w:val="00250DAD"/>
    <w:rsid w:val="0027245B"/>
    <w:rsid w:val="002A72C7"/>
    <w:rsid w:val="002C44F6"/>
    <w:rsid w:val="003153B1"/>
    <w:rsid w:val="00320E7D"/>
    <w:rsid w:val="00331AEE"/>
    <w:rsid w:val="003324B2"/>
    <w:rsid w:val="00376853"/>
    <w:rsid w:val="00391251"/>
    <w:rsid w:val="0039626E"/>
    <w:rsid w:val="003B0688"/>
    <w:rsid w:val="003C1B14"/>
    <w:rsid w:val="003F0C97"/>
    <w:rsid w:val="004341A1"/>
    <w:rsid w:val="00436DA5"/>
    <w:rsid w:val="00454F95"/>
    <w:rsid w:val="00466FA3"/>
    <w:rsid w:val="004806A4"/>
    <w:rsid w:val="004C1C34"/>
    <w:rsid w:val="004D2FAA"/>
    <w:rsid w:val="004D5161"/>
    <w:rsid w:val="00520180"/>
    <w:rsid w:val="00527115"/>
    <w:rsid w:val="0053413E"/>
    <w:rsid w:val="00566A97"/>
    <w:rsid w:val="005906F7"/>
    <w:rsid w:val="005C0D5A"/>
    <w:rsid w:val="005C6B05"/>
    <w:rsid w:val="005C7924"/>
    <w:rsid w:val="005D4299"/>
    <w:rsid w:val="005E2730"/>
    <w:rsid w:val="006A2B98"/>
    <w:rsid w:val="00706B0C"/>
    <w:rsid w:val="00752492"/>
    <w:rsid w:val="0078330C"/>
    <w:rsid w:val="007848F5"/>
    <w:rsid w:val="00796FF3"/>
    <w:rsid w:val="007D2FC3"/>
    <w:rsid w:val="007D6C82"/>
    <w:rsid w:val="007E2B56"/>
    <w:rsid w:val="007F5BE8"/>
    <w:rsid w:val="00806925"/>
    <w:rsid w:val="00852DF7"/>
    <w:rsid w:val="008657F5"/>
    <w:rsid w:val="00885E70"/>
    <w:rsid w:val="00886293"/>
    <w:rsid w:val="008916B6"/>
    <w:rsid w:val="00894C07"/>
    <w:rsid w:val="008A6434"/>
    <w:rsid w:val="008D45B6"/>
    <w:rsid w:val="008F5AA5"/>
    <w:rsid w:val="00961C00"/>
    <w:rsid w:val="009A0FC0"/>
    <w:rsid w:val="009A74AF"/>
    <w:rsid w:val="009B7B98"/>
    <w:rsid w:val="009C33EE"/>
    <w:rsid w:val="00A20F4B"/>
    <w:rsid w:val="00A23E03"/>
    <w:rsid w:val="00A261A0"/>
    <w:rsid w:val="00A4232E"/>
    <w:rsid w:val="00A65790"/>
    <w:rsid w:val="00AB2AB1"/>
    <w:rsid w:val="00AD6D11"/>
    <w:rsid w:val="00AE341C"/>
    <w:rsid w:val="00B15310"/>
    <w:rsid w:val="00B16F59"/>
    <w:rsid w:val="00B641B5"/>
    <w:rsid w:val="00B669B5"/>
    <w:rsid w:val="00B72A11"/>
    <w:rsid w:val="00B747CC"/>
    <w:rsid w:val="00B82F24"/>
    <w:rsid w:val="00C34308"/>
    <w:rsid w:val="00C63DE5"/>
    <w:rsid w:val="00C86AF8"/>
    <w:rsid w:val="00CB0073"/>
    <w:rsid w:val="00CC149D"/>
    <w:rsid w:val="00CD092B"/>
    <w:rsid w:val="00CE0CA6"/>
    <w:rsid w:val="00CF1A5D"/>
    <w:rsid w:val="00D42A5A"/>
    <w:rsid w:val="00D52EA6"/>
    <w:rsid w:val="00D63940"/>
    <w:rsid w:val="00D9633F"/>
    <w:rsid w:val="00DB5A08"/>
    <w:rsid w:val="00DB6E4D"/>
    <w:rsid w:val="00DC4E6A"/>
    <w:rsid w:val="00DD0D99"/>
    <w:rsid w:val="00DD0F30"/>
    <w:rsid w:val="00DE6095"/>
    <w:rsid w:val="00DF4AF6"/>
    <w:rsid w:val="00DF6ECB"/>
    <w:rsid w:val="00E136FF"/>
    <w:rsid w:val="00E91D8A"/>
    <w:rsid w:val="00EA1DF9"/>
    <w:rsid w:val="00EB5615"/>
    <w:rsid w:val="00EC5486"/>
    <w:rsid w:val="00ED6E9E"/>
    <w:rsid w:val="00F03801"/>
    <w:rsid w:val="00F31FC8"/>
    <w:rsid w:val="00F4185E"/>
    <w:rsid w:val="00F60C54"/>
    <w:rsid w:val="00F8667D"/>
    <w:rsid w:val="00FA0779"/>
    <w:rsid w:val="00FC5D9C"/>
    <w:rsid w:val="00FE0E96"/>
    <w:rsid w:val="00FE2581"/>
    <w:rsid w:val="00FE31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D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5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5161"/>
  </w:style>
  <w:style w:type="paragraph" w:styleId="Footer">
    <w:name w:val="footer"/>
    <w:basedOn w:val="Normal"/>
    <w:link w:val="FooterChar"/>
    <w:uiPriority w:val="99"/>
    <w:semiHidden/>
    <w:unhideWhenUsed/>
    <w:rsid w:val="004D51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D5161"/>
  </w:style>
  <w:style w:type="table" w:styleId="TableGrid">
    <w:name w:val="Table Grid"/>
    <w:basedOn w:val="TableNormal"/>
    <w:uiPriority w:val="59"/>
    <w:rsid w:val="00CE0C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324B2"/>
    <w:rPr>
      <w:sz w:val="16"/>
      <w:szCs w:val="16"/>
    </w:rPr>
  </w:style>
  <w:style w:type="paragraph" w:styleId="CommentText">
    <w:name w:val="annotation text"/>
    <w:basedOn w:val="Normal"/>
    <w:link w:val="CommentTextChar"/>
    <w:uiPriority w:val="99"/>
    <w:semiHidden/>
    <w:unhideWhenUsed/>
    <w:rsid w:val="003324B2"/>
    <w:pPr>
      <w:spacing w:line="240" w:lineRule="auto"/>
    </w:pPr>
    <w:rPr>
      <w:sz w:val="20"/>
      <w:szCs w:val="20"/>
    </w:rPr>
  </w:style>
  <w:style w:type="character" w:customStyle="1" w:styleId="CommentTextChar">
    <w:name w:val="Comment Text Char"/>
    <w:basedOn w:val="DefaultParagraphFont"/>
    <w:link w:val="CommentText"/>
    <w:uiPriority w:val="99"/>
    <w:semiHidden/>
    <w:rsid w:val="003324B2"/>
    <w:rPr>
      <w:sz w:val="20"/>
      <w:szCs w:val="20"/>
    </w:rPr>
  </w:style>
  <w:style w:type="paragraph" w:styleId="CommentSubject">
    <w:name w:val="annotation subject"/>
    <w:basedOn w:val="CommentText"/>
    <w:next w:val="CommentText"/>
    <w:link w:val="CommentSubjectChar"/>
    <w:uiPriority w:val="99"/>
    <w:semiHidden/>
    <w:unhideWhenUsed/>
    <w:rsid w:val="003324B2"/>
    <w:rPr>
      <w:b/>
      <w:bCs/>
    </w:rPr>
  </w:style>
  <w:style w:type="character" w:customStyle="1" w:styleId="CommentSubjectChar">
    <w:name w:val="Comment Subject Char"/>
    <w:basedOn w:val="CommentTextChar"/>
    <w:link w:val="CommentSubject"/>
    <w:uiPriority w:val="99"/>
    <w:semiHidden/>
    <w:rsid w:val="003324B2"/>
    <w:rPr>
      <w:b/>
      <w:bCs/>
    </w:rPr>
  </w:style>
  <w:style w:type="paragraph" w:styleId="BalloonText">
    <w:name w:val="Balloon Text"/>
    <w:basedOn w:val="Normal"/>
    <w:link w:val="BalloonTextChar"/>
    <w:uiPriority w:val="99"/>
    <w:semiHidden/>
    <w:unhideWhenUsed/>
    <w:rsid w:val="003324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24B2"/>
    <w:rPr>
      <w:rFonts w:ascii="Tahoma" w:hAnsi="Tahoma" w:cs="Tahoma"/>
      <w:sz w:val="16"/>
      <w:szCs w:val="16"/>
    </w:rPr>
  </w:style>
  <w:style w:type="paragraph" w:styleId="ListParagraph">
    <w:name w:val="List Paragraph"/>
    <w:basedOn w:val="Normal"/>
    <w:uiPriority w:val="34"/>
    <w:qFormat/>
    <w:rsid w:val="00A261A0"/>
    <w:pPr>
      <w:ind w:left="720"/>
      <w:contextualSpacing/>
    </w:pPr>
  </w:style>
</w:styles>
</file>

<file path=word/webSettings.xml><?xml version="1.0" encoding="utf-8"?>
<w:webSettings xmlns:r="http://schemas.openxmlformats.org/officeDocument/2006/relationships" xmlns:w="http://schemas.openxmlformats.org/wordprocessingml/2006/main">
  <w:divs>
    <w:div w:id="1632706843">
      <w:bodyDiv w:val="1"/>
      <w:marLeft w:val="0"/>
      <w:marRight w:val="0"/>
      <w:marTop w:val="0"/>
      <w:marBottom w:val="0"/>
      <w:divBdr>
        <w:top w:val="none" w:sz="0" w:space="0" w:color="auto"/>
        <w:left w:val="none" w:sz="0" w:space="0" w:color="auto"/>
        <w:bottom w:val="none" w:sz="0" w:space="0" w:color="auto"/>
        <w:right w:val="none" w:sz="0" w:space="0" w:color="auto"/>
      </w:divBdr>
    </w:div>
    <w:div w:id="188594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903DC-BE19-4C2E-8C76-401593E11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998</Words>
  <Characters>5690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Kane</dc:creator>
  <cp:keywords/>
  <dc:description/>
  <cp:lastModifiedBy>CMS</cp:lastModifiedBy>
  <cp:revision>3</cp:revision>
  <cp:lastPrinted>2012-09-10T17:58:00Z</cp:lastPrinted>
  <dcterms:created xsi:type="dcterms:W3CDTF">2012-10-05T14:06:00Z</dcterms:created>
  <dcterms:modified xsi:type="dcterms:W3CDTF">2012-10-05T14:08:00Z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-1845386030</vt:i4>
  </property>
  <property fmtid="{D5CDD505-2E9C-101B-9397-08002B2CF9AE}" pid="3" name="_NewReviewCycle">
    <vt:lpwstr/>
  </property>
  <property fmtid="{D5CDD505-2E9C-101B-9397-08002B2CF9AE}" pid="4" name="_EmailSubject">
    <vt:lpwstr>Monitoring Update for Website</vt:lpwstr>
  </property>
  <property fmtid="{D5CDD505-2E9C-101B-9397-08002B2CF9AE}" pid="5" name="_AuthorEmail">
    <vt:lpwstr>Kimberly.Skellan@cms.hhs.gov</vt:lpwstr>
  </property>
  <property fmtid="{D5CDD505-2E9C-101B-9397-08002B2CF9AE}" pid="6" name="_AuthorEmailDisplayName">
    <vt:lpwstr>Skellan, Kimberly J. (CMS/CM)</vt:lpwstr>
  </property>
</Properties>
</file>